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3E4B4" w14:textId="77777777" w:rsidR="006C39FA" w:rsidRPr="00647E84" w:rsidRDefault="006C39FA" w:rsidP="0021059D">
      <w:pPr>
        <w:spacing w:line="360" w:lineRule="auto"/>
        <w:jc w:val="both"/>
        <w:rPr>
          <w:rFonts w:ascii="Times New Roman" w:hAnsi="Times New Roman" w:cs="Times New Roman"/>
          <w:b/>
          <w:bCs/>
          <w:sz w:val="24"/>
          <w:szCs w:val="24"/>
          <w:u w:val="single"/>
          <w:lang w:val="es-ES"/>
        </w:rPr>
      </w:pPr>
      <w:r w:rsidRPr="00647E84">
        <w:rPr>
          <w:rFonts w:ascii="Times New Roman" w:hAnsi="Times New Roman" w:cs="Times New Roman"/>
          <w:b/>
          <w:bCs/>
          <w:sz w:val="24"/>
          <w:szCs w:val="24"/>
          <w:u w:val="single"/>
          <w:lang w:val="es-ES"/>
        </w:rPr>
        <w:t xml:space="preserve">Regla 60: Desde la demanda hasta la sentencia </w:t>
      </w:r>
    </w:p>
    <w:p w14:paraId="03CA7BBD" w14:textId="11DF6FCE" w:rsidR="006C39FA" w:rsidRPr="00647E84" w:rsidRDefault="006C39FA" w:rsidP="0021059D">
      <w:p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 xml:space="preserve">Por: Lcdo. Donald R. Milán Guindín  </w:t>
      </w:r>
    </w:p>
    <w:p w14:paraId="43D0E4DD" w14:textId="3FE8C083" w:rsidR="006C39FA" w:rsidRPr="00647E84" w:rsidRDefault="006C39FA" w:rsidP="0021059D">
      <w:pPr>
        <w:spacing w:line="360" w:lineRule="auto"/>
        <w:jc w:val="both"/>
        <w:rPr>
          <w:rFonts w:ascii="Times New Roman" w:hAnsi="Times New Roman" w:cs="Times New Roman"/>
          <w:sz w:val="24"/>
          <w:szCs w:val="24"/>
          <w:lang w:val="es-ES"/>
        </w:rPr>
      </w:pPr>
    </w:p>
    <w:p w14:paraId="5F2E2D57" w14:textId="61CED0A2" w:rsidR="006C39FA" w:rsidRPr="00647E84" w:rsidRDefault="0021059D" w:rsidP="0021059D">
      <w:pPr>
        <w:pStyle w:val="ListParagraph"/>
        <w:numPr>
          <w:ilvl w:val="0"/>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i/>
          <w:iCs/>
          <w:sz w:val="24"/>
          <w:szCs w:val="24"/>
          <w:lang w:val="es-ES"/>
        </w:rPr>
        <w:t>Objetivo</w:t>
      </w:r>
      <w:r w:rsidRPr="00647E84">
        <w:rPr>
          <w:rFonts w:ascii="Times New Roman" w:hAnsi="Times New Roman" w:cs="Times New Roman"/>
          <w:sz w:val="24"/>
          <w:szCs w:val="24"/>
          <w:lang w:val="es-ES"/>
        </w:rPr>
        <w:t xml:space="preserve">: </w:t>
      </w:r>
      <w:r w:rsidR="00A740A0" w:rsidRPr="00647E84">
        <w:rPr>
          <w:rFonts w:ascii="Times New Roman" w:hAnsi="Times New Roman" w:cs="Times New Roman"/>
          <w:sz w:val="24"/>
          <w:szCs w:val="24"/>
          <w:lang w:val="es-ES"/>
        </w:rPr>
        <w:t xml:space="preserve">luego del curso los abogados tendrán las destrezas necesarias para </w:t>
      </w:r>
      <w:r w:rsidRPr="00647E84">
        <w:rPr>
          <w:rFonts w:ascii="Times New Roman" w:hAnsi="Times New Roman" w:cs="Times New Roman"/>
          <w:sz w:val="24"/>
          <w:szCs w:val="24"/>
          <w:lang w:val="es-ES"/>
        </w:rPr>
        <w:t xml:space="preserve">manejar </w:t>
      </w:r>
      <w:r w:rsidR="00A740A0" w:rsidRPr="00647E84">
        <w:rPr>
          <w:rFonts w:ascii="Times New Roman" w:hAnsi="Times New Roman" w:cs="Times New Roman"/>
          <w:sz w:val="24"/>
          <w:szCs w:val="24"/>
          <w:lang w:val="es-ES"/>
        </w:rPr>
        <w:t xml:space="preserve">efectivamente </w:t>
      </w:r>
      <w:r w:rsidRPr="00647E84">
        <w:rPr>
          <w:rFonts w:ascii="Times New Roman" w:hAnsi="Times New Roman" w:cs="Times New Roman"/>
          <w:sz w:val="24"/>
          <w:szCs w:val="24"/>
          <w:lang w:val="es-ES"/>
        </w:rPr>
        <w:t>los trámites de cobro de dinero, bajo la Regla 60, desde la presentación de la demanda hasta la sentencia.</w:t>
      </w:r>
      <w:r w:rsidR="00A740A0" w:rsidRPr="00647E84">
        <w:rPr>
          <w:rFonts w:ascii="Times New Roman" w:hAnsi="Times New Roman" w:cs="Times New Roman"/>
          <w:sz w:val="24"/>
          <w:szCs w:val="24"/>
          <w:lang w:val="es-ES"/>
        </w:rPr>
        <w:t xml:space="preserve"> </w:t>
      </w:r>
      <w:r w:rsidRPr="00647E84">
        <w:rPr>
          <w:rFonts w:ascii="Times New Roman" w:hAnsi="Times New Roman" w:cs="Times New Roman"/>
          <w:sz w:val="24"/>
          <w:szCs w:val="24"/>
          <w:lang w:val="es-ES"/>
        </w:rPr>
        <w:t xml:space="preserve">  </w:t>
      </w:r>
    </w:p>
    <w:p w14:paraId="70BBD2D4" w14:textId="7D856765" w:rsidR="002A3EC7" w:rsidRPr="005D2585" w:rsidRDefault="0021059D" w:rsidP="005D2585">
      <w:pPr>
        <w:pStyle w:val="ListParagraph"/>
        <w:numPr>
          <w:ilvl w:val="0"/>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i/>
          <w:iCs/>
          <w:sz w:val="24"/>
          <w:szCs w:val="24"/>
          <w:lang w:val="es-ES"/>
        </w:rPr>
        <w:t>Descripción</w:t>
      </w:r>
      <w:r w:rsidRPr="00647E84">
        <w:rPr>
          <w:rFonts w:ascii="Times New Roman" w:hAnsi="Times New Roman" w:cs="Times New Roman"/>
          <w:sz w:val="24"/>
          <w:szCs w:val="24"/>
          <w:lang w:val="es-ES"/>
        </w:rPr>
        <w:t xml:space="preserve">: </w:t>
      </w:r>
      <w:r w:rsidR="005D2585">
        <w:rPr>
          <w:rFonts w:ascii="Times New Roman" w:hAnsi="Times New Roman" w:cs="Times New Roman"/>
          <w:sz w:val="24"/>
          <w:szCs w:val="24"/>
          <w:lang w:val="es-ES"/>
        </w:rPr>
        <w:t>en este curso</w:t>
      </w:r>
      <w:r w:rsidRPr="005D2585">
        <w:rPr>
          <w:rFonts w:ascii="Times New Roman" w:hAnsi="Times New Roman" w:cs="Times New Roman"/>
          <w:sz w:val="24"/>
          <w:szCs w:val="24"/>
          <w:lang w:val="es-ES"/>
        </w:rPr>
        <w:t xml:space="preserve"> el conferenciante, </w:t>
      </w:r>
      <w:r w:rsidR="005D2585" w:rsidRPr="005D2585">
        <w:rPr>
          <w:rFonts w:ascii="Times New Roman" w:hAnsi="Times New Roman" w:cs="Times New Roman"/>
          <w:sz w:val="24"/>
          <w:szCs w:val="24"/>
          <w:lang w:val="es-ES"/>
        </w:rPr>
        <w:t>lleva</w:t>
      </w:r>
      <w:r w:rsidR="005D2585">
        <w:rPr>
          <w:rFonts w:ascii="Times New Roman" w:hAnsi="Times New Roman" w:cs="Times New Roman"/>
          <w:sz w:val="24"/>
          <w:szCs w:val="24"/>
          <w:lang w:val="es-ES"/>
        </w:rPr>
        <w:t>rá</w:t>
      </w:r>
      <w:r w:rsidRPr="005D2585">
        <w:rPr>
          <w:rFonts w:ascii="Times New Roman" w:hAnsi="Times New Roman" w:cs="Times New Roman"/>
          <w:sz w:val="24"/>
          <w:szCs w:val="24"/>
          <w:lang w:val="es-ES"/>
        </w:rPr>
        <w:t xml:space="preserve"> al abogado por las etapas procesales aplicables a</w:t>
      </w:r>
      <w:r w:rsidR="00F906A7" w:rsidRPr="005D2585">
        <w:rPr>
          <w:rFonts w:ascii="Times New Roman" w:hAnsi="Times New Roman" w:cs="Times New Roman"/>
          <w:sz w:val="24"/>
          <w:szCs w:val="24"/>
          <w:lang w:val="es-ES"/>
        </w:rPr>
        <w:t>l trámite de</w:t>
      </w:r>
      <w:r w:rsidRPr="005D2585">
        <w:rPr>
          <w:rFonts w:ascii="Times New Roman" w:hAnsi="Times New Roman" w:cs="Times New Roman"/>
          <w:sz w:val="24"/>
          <w:szCs w:val="24"/>
          <w:lang w:val="es-ES"/>
        </w:rPr>
        <w:t xml:space="preserve"> la Regla 60; desde la entrevista inicial hasta que se dicte sentencia. Con detalle, se </w:t>
      </w:r>
      <w:r w:rsidR="005D2585" w:rsidRPr="005D2585">
        <w:rPr>
          <w:rFonts w:ascii="Times New Roman" w:hAnsi="Times New Roman" w:cs="Times New Roman"/>
          <w:sz w:val="24"/>
          <w:szCs w:val="24"/>
          <w:lang w:val="es-ES"/>
        </w:rPr>
        <w:t>discut</w:t>
      </w:r>
      <w:r w:rsidR="005D2585">
        <w:rPr>
          <w:rFonts w:ascii="Times New Roman" w:hAnsi="Times New Roman" w:cs="Times New Roman"/>
          <w:sz w:val="24"/>
          <w:szCs w:val="24"/>
          <w:lang w:val="es-ES"/>
        </w:rPr>
        <w:t>irán</w:t>
      </w:r>
      <w:r w:rsidRPr="005D2585">
        <w:rPr>
          <w:rFonts w:ascii="Times New Roman" w:hAnsi="Times New Roman" w:cs="Times New Roman"/>
          <w:sz w:val="24"/>
          <w:szCs w:val="24"/>
          <w:lang w:val="es-ES"/>
        </w:rPr>
        <w:t xml:space="preserve"> consideraciones correspondientes a la entrevista inicial, la redacción y presentación de la demanda, y las mociones que podría el demandante y el demandado presentar antes del juicio. También, se </w:t>
      </w:r>
      <w:r w:rsidR="005D2585" w:rsidRPr="005D2585">
        <w:rPr>
          <w:rFonts w:ascii="Times New Roman" w:hAnsi="Times New Roman" w:cs="Times New Roman"/>
          <w:sz w:val="24"/>
          <w:szCs w:val="24"/>
          <w:lang w:val="es-ES"/>
        </w:rPr>
        <w:t>discut</w:t>
      </w:r>
      <w:r w:rsidR="005D2585">
        <w:rPr>
          <w:rFonts w:ascii="Times New Roman" w:hAnsi="Times New Roman" w:cs="Times New Roman"/>
          <w:sz w:val="24"/>
          <w:szCs w:val="24"/>
          <w:lang w:val="es-ES"/>
        </w:rPr>
        <w:t>irá</w:t>
      </w:r>
      <w:r w:rsidRPr="005D2585">
        <w:rPr>
          <w:rFonts w:ascii="Times New Roman" w:hAnsi="Times New Roman" w:cs="Times New Roman"/>
          <w:sz w:val="24"/>
          <w:szCs w:val="24"/>
          <w:lang w:val="es-ES"/>
        </w:rPr>
        <w:t xml:space="preserve"> la etapa de juicio y las posibles mociones que pueden ser presentadas en </w:t>
      </w:r>
      <w:r w:rsidR="00F906A7" w:rsidRPr="005D2585">
        <w:rPr>
          <w:rFonts w:ascii="Times New Roman" w:hAnsi="Times New Roman" w:cs="Times New Roman"/>
          <w:sz w:val="24"/>
          <w:szCs w:val="24"/>
          <w:lang w:val="es-ES"/>
        </w:rPr>
        <w:t>la misma</w:t>
      </w:r>
      <w:r w:rsidRPr="005D2585">
        <w:rPr>
          <w:rFonts w:ascii="Times New Roman" w:hAnsi="Times New Roman" w:cs="Times New Roman"/>
          <w:sz w:val="24"/>
          <w:szCs w:val="24"/>
          <w:lang w:val="es-ES"/>
        </w:rPr>
        <w:t xml:space="preserve">. En el curso se </w:t>
      </w:r>
      <w:r w:rsidR="005D2585" w:rsidRPr="005D2585">
        <w:rPr>
          <w:rFonts w:ascii="Times New Roman" w:hAnsi="Times New Roman" w:cs="Times New Roman"/>
          <w:sz w:val="24"/>
          <w:szCs w:val="24"/>
          <w:lang w:val="es-ES"/>
        </w:rPr>
        <w:t>integra</w:t>
      </w:r>
      <w:r w:rsidR="005D2585">
        <w:rPr>
          <w:rFonts w:ascii="Times New Roman" w:hAnsi="Times New Roman" w:cs="Times New Roman"/>
          <w:sz w:val="24"/>
          <w:szCs w:val="24"/>
          <w:lang w:val="es-ES"/>
        </w:rPr>
        <w:t>rán</w:t>
      </w:r>
      <w:r w:rsidRPr="005D2585">
        <w:rPr>
          <w:rFonts w:ascii="Times New Roman" w:hAnsi="Times New Roman" w:cs="Times New Roman"/>
          <w:sz w:val="24"/>
          <w:szCs w:val="24"/>
          <w:lang w:val="es-ES"/>
        </w:rPr>
        <w:t xml:space="preserve"> </w:t>
      </w:r>
      <w:r w:rsidR="00C054FD" w:rsidRPr="005D2585">
        <w:rPr>
          <w:rFonts w:ascii="Times New Roman" w:hAnsi="Times New Roman" w:cs="Times New Roman"/>
          <w:sz w:val="24"/>
          <w:szCs w:val="24"/>
          <w:lang w:val="es-ES"/>
        </w:rPr>
        <w:t xml:space="preserve">al tema en discusión </w:t>
      </w:r>
      <w:r w:rsidRPr="005D2585">
        <w:rPr>
          <w:rFonts w:ascii="Times New Roman" w:hAnsi="Times New Roman" w:cs="Times New Roman"/>
          <w:sz w:val="24"/>
          <w:szCs w:val="24"/>
          <w:lang w:val="es-ES"/>
        </w:rPr>
        <w:t>las reglas de evidencia más comunes, los conceptos éticos aplicables</w:t>
      </w:r>
      <w:r w:rsidR="005D2585">
        <w:rPr>
          <w:rFonts w:ascii="Times New Roman" w:hAnsi="Times New Roman" w:cs="Times New Roman"/>
          <w:sz w:val="24"/>
          <w:szCs w:val="24"/>
          <w:lang w:val="es-ES"/>
        </w:rPr>
        <w:t xml:space="preserve"> y </w:t>
      </w:r>
      <w:r w:rsidRPr="005D2585">
        <w:rPr>
          <w:rFonts w:ascii="Times New Roman" w:hAnsi="Times New Roman" w:cs="Times New Roman"/>
          <w:sz w:val="24"/>
          <w:szCs w:val="24"/>
          <w:lang w:val="es-ES"/>
        </w:rPr>
        <w:t xml:space="preserve">el derecho sustantivo </w:t>
      </w:r>
      <w:r w:rsidR="00C054FD" w:rsidRPr="005D2585">
        <w:rPr>
          <w:rFonts w:ascii="Times New Roman" w:hAnsi="Times New Roman" w:cs="Times New Roman"/>
          <w:sz w:val="24"/>
          <w:szCs w:val="24"/>
          <w:lang w:val="es-ES"/>
        </w:rPr>
        <w:t>relacionado</w:t>
      </w:r>
      <w:r w:rsidR="005D2585">
        <w:rPr>
          <w:rFonts w:ascii="Times New Roman" w:hAnsi="Times New Roman" w:cs="Times New Roman"/>
          <w:sz w:val="24"/>
          <w:szCs w:val="24"/>
          <w:lang w:val="es-ES"/>
        </w:rPr>
        <w:t>.</w:t>
      </w:r>
      <w:r w:rsidR="00C054FD" w:rsidRPr="005D2585">
        <w:rPr>
          <w:rFonts w:ascii="Times New Roman" w:hAnsi="Times New Roman" w:cs="Times New Roman"/>
          <w:sz w:val="24"/>
          <w:szCs w:val="24"/>
          <w:lang w:val="es-ES"/>
        </w:rPr>
        <w:t xml:space="preserve"> </w:t>
      </w:r>
      <w:r w:rsidR="005D2585">
        <w:rPr>
          <w:rFonts w:ascii="Times New Roman" w:hAnsi="Times New Roman" w:cs="Times New Roman"/>
          <w:sz w:val="24"/>
          <w:szCs w:val="24"/>
          <w:lang w:val="es-ES"/>
        </w:rPr>
        <w:t xml:space="preserve">También, se harán recomendaciones sobre los equipos y libros, junto a varios consejos prácticos para el abogado que litiga los casos de cobro de dinero. </w:t>
      </w:r>
      <w:r w:rsidR="00C054FD" w:rsidRPr="005D2585">
        <w:rPr>
          <w:rFonts w:ascii="Times New Roman" w:hAnsi="Times New Roman" w:cs="Times New Roman"/>
          <w:sz w:val="24"/>
          <w:szCs w:val="24"/>
          <w:lang w:val="es-ES"/>
        </w:rPr>
        <w:t xml:space="preserve"> </w:t>
      </w:r>
    </w:p>
    <w:p w14:paraId="37973C38" w14:textId="01DC89B4" w:rsidR="002A3EC7" w:rsidRDefault="002A3EC7" w:rsidP="002A3EC7">
      <w:pPr>
        <w:pStyle w:val="ListParagraph"/>
        <w:numPr>
          <w:ilvl w:val="0"/>
          <w:numId w:val="1"/>
        </w:num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6 libros que todo abogado que litigue casos de Regla 60 debe tener</w:t>
      </w:r>
      <w:r w:rsidR="005D2585">
        <w:rPr>
          <w:rFonts w:ascii="Times New Roman" w:hAnsi="Times New Roman" w:cs="Times New Roman"/>
          <w:sz w:val="24"/>
          <w:szCs w:val="24"/>
          <w:lang w:val="es-ES"/>
        </w:rPr>
        <w:t>;</w:t>
      </w:r>
      <w:r>
        <w:rPr>
          <w:rFonts w:ascii="Times New Roman" w:hAnsi="Times New Roman" w:cs="Times New Roman"/>
          <w:sz w:val="24"/>
          <w:szCs w:val="24"/>
          <w:lang w:val="es-ES"/>
        </w:rPr>
        <w:t xml:space="preserve"> </w:t>
      </w:r>
    </w:p>
    <w:p w14:paraId="7FA62D47" w14:textId="77777777" w:rsidR="002A3EC7" w:rsidRDefault="002A3EC7"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Litigación civil</w:t>
      </w:r>
      <w:r w:rsidRPr="002A3EC7">
        <w:rPr>
          <w:rFonts w:ascii="Times New Roman" w:hAnsi="Times New Roman" w:cs="Times New Roman"/>
          <w:sz w:val="24"/>
          <w:szCs w:val="24"/>
          <w:lang w:val="es-ES"/>
        </w:rPr>
        <w:t xml:space="preserve"> de Carlos Díaz Olivo</w:t>
      </w:r>
    </w:p>
    <w:p w14:paraId="1CA038A9" w14:textId="77777777" w:rsidR="002A3EC7" w:rsidRDefault="002A3EC7"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Práctica jurídica de Puerto Rico: derecho procesal civil</w:t>
      </w:r>
      <w:r w:rsidRPr="002A3EC7">
        <w:rPr>
          <w:rFonts w:ascii="Times New Roman" w:hAnsi="Times New Roman" w:cs="Times New Roman"/>
          <w:sz w:val="24"/>
          <w:szCs w:val="24"/>
          <w:lang w:val="es-ES"/>
        </w:rPr>
        <w:t xml:space="preserve"> de Rafael Hernández Colón</w:t>
      </w:r>
    </w:p>
    <w:p w14:paraId="4E907BB6" w14:textId="77777777" w:rsidR="002A3EC7" w:rsidRDefault="002A3EC7"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Las medidas cautelares y la ejecución de la sentencia</w:t>
      </w:r>
      <w:r w:rsidRPr="002A3EC7">
        <w:rPr>
          <w:rFonts w:ascii="Times New Roman" w:hAnsi="Times New Roman" w:cs="Times New Roman"/>
          <w:sz w:val="24"/>
          <w:szCs w:val="24"/>
          <w:lang w:val="es-ES"/>
        </w:rPr>
        <w:t xml:space="preserve"> del Dr. José A. Cuevas Segarra</w:t>
      </w:r>
    </w:p>
    <w:p w14:paraId="5C55B60C" w14:textId="6CBDAD25" w:rsidR="0021059D" w:rsidRDefault="002A3EC7"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Teoría y práctica del proceso oral en la litigación</w:t>
      </w:r>
      <w:r w:rsidRPr="002A3EC7">
        <w:rPr>
          <w:rFonts w:ascii="Times New Roman" w:hAnsi="Times New Roman" w:cs="Times New Roman"/>
          <w:sz w:val="24"/>
          <w:szCs w:val="24"/>
          <w:lang w:val="es-ES"/>
        </w:rPr>
        <w:t xml:space="preserve"> de Carlos Ramos González y Enrique Vélez Rodríguez</w:t>
      </w:r>
      <w:r w:rsidR="0021059D" w:rsidRPr="00647E84">
        <w:rPr>
          <w:rFonts w:ascii="Times New Roman" w:hAnsi="Times New Roman" w:cs="Times New Roman"/>
          <w:sz w:val="24"/>
          <w:szCs w:val="24"/>
          <w:lang w:val="es-ES"/>
        </w:rPr>
        <w:t xml:space="preserve"> </w:t>
      </w:r>
    </w:p>
    <w:p w14:paraId="43A851C3" w14:textId="51337FDD" w:rsidR="002A3EC7" w:rsidRDefault="002A3EC7"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Reglas de Evidencia comentadas</w:t>
      </w:r>
      <w:r w:rsidRPr="002A3EC7">
        <w:rPr>
          <w:rFonts w:ascii="Times New Roman" w:hAnsi="Times New Roman" w:cs="Times New Roman"/>
          <w:sz w:val="24"/>
          <w:szCs w:val="24"/>
          <w:lang w:val="es-ES"/>
        </w:rPr>
        <w:t xml:space="preserve"> de Ernesto L. Chiesa Aponte</w:t>
      </w:r>
    </w:p>
    <w:p w14:paraId="3FBD246A" w14:textId="30059586" w:rsidR="002A3EC7" w:rsidRPr="00647E84" w:rsidRDefault="00147998" w:rsidP="002A3EC7">
      <w:pPr>
        <w:pStyle w:val="ListParagraph"/>
        <w:numPr>
          <w:ilvl w:val="1"/>
          <w:numId w:val="1"/>
        </w:numPr>
        <w:spacing w:line="360" w:lineRule="auto"/>
        <w:jc w:val="both"/>
        <w:rPr>
          <w:rFonts w:ascii="Times New Roman" w:hAnsi="Times New Roman" w:cs="Times New Roman"/>
          <w:sz w:val="24"/>
          <w:szCs w:val="24"/>
          <w:lang w:val="es-ES"/>
        </w:rPr>
      </w:pPr>
      <w:r w:rsidRPr="00147998">
        <w:rPr>
          <w:rFonts w:ascii="Times New Roman" w:hAnsi="Times New Roman" w:cs="Times New Roman"/>
          <w:sz w:val="24"/>
          <w:szCs w:val="24"/>
          <w:u w:val="single"/>
          <w:lang w:val="es-ES"/>
        </w:rPr>
        <w:t xml:space="preserve">Compendio de derecho probatorio puertorriqueño </w:t>
      </w:r>
      <w:r w:rsidRPr="00147998">
        <w:rPr>
          <w:rFonts w:ascii="Times New Roman" w:hAnsi="Times New Roman" w:cs="Times New Roman"/>
          <w:sz w:val="24"/>
          <w:szCs w:val="24"/>
          <w:lang w:val="es-ES"/>
        </w:rPr>
        <w:t xml:space="preserve">de Rolando </w:t>
      </w:r>
      <w:proofErr w:type="spellStart"/>
      <w:r w:rsidRPr="00147998">
        <w:rPr>
          <w:rFonts w:ascii="Times New Roman" w:hAnsi="Times New Roman" w:cs="Times New Roman"/>
          <w:sz w:val="24"/>
          <w:szCs w:val="24"/>
          <w:lang w:val="es-ES"/>
        </w:rPr>
        <w:t>Emmanuelli</w:t>
      </w:r>
      <w:proofErr w:type="spellEnd"/>
      <w:r w:rsidRPr="00147998">
        <w:rPr>
          <w:rFonts w:ascii="Times New Roman" w:hAnsi="Times New Roman" w:cs="Times New Roman"/>
          <w:sz w:val="24"/>
          <w:szCs w:val="24"/>
          <w:lang w:val="es-ES"/>
        </w:rPr>
        <w:t xml:space="preserve"> Jiménez</w:t>
      </w:r>
    </w:p>
    <w:p w14:paraId="685C53E1" w14:textId="77777777" w:rsidR="00647E84" w:rsidRPr="00647E84" w:rsidRDefault="00647E84" w:rsidP="00647E84">
      <w:pPr>
        <w:pStyle w:val="ListParagraph"/>
        <w:numPr>
          <w:ilvl w:val="0"/>
          <w:numId w:val="1"/>
        </w:numPr>
        <w:spacing w:line="360" w:lineRule="auto"/>
        <w:rPr>
          <w:rFonts w:ascii="Times New Roman" w:hAnsi="Times New Roman" w:cs="Times New Roman"/>
          <w:sz w:val="24"/>
          <w:szCs w:val="24"/>
          <w:lang w:val="es-ES"/>
        </w:rPr>
      </w:pPr>
      <w:r w:rsidRPr="00647E84">
        <w:rPr>
          <w:rFonts w:ascii="Times New Roman" w:hAnsi="Times New Roman" w:cs="Times New Roman"/>
          <w:sz w:val="24"/>
          <w:szCs w:val="24"/>
          <w:u w:val="single"/>
          <w:lang w:val="es-ES"/>
        </w:rPr>
        <w:t xml:space="preserve">¿Qué es la Regla 60? </w:t>
      </w:r>
    </w:p>
    <w:p w14:paraId="66340A9A" w14:textId="773E8AC8" w:rsidR="00647E84" w:rsidRPr="00647E84" w:rsidRDefault="00647E84" w:rsidP="001A6570">
      <w:pPr>
        <w:spacing w:line="360" w:lineRule="auto"/>
        <w:ind w:left="360"/>
        <w:rPr>
          <w:rFonts w:ascii="Times New Roman" w:hAnsi="Times New Roman" w:cs="Times New Roman"/>
          <w:sz w:val="24"/>
          <w:szCs w:val="24"/>
          <w:lang w:val="es-ES"/>
        </w:rPr>
      </w:pPr>
      <w:r w:rsidRPr="00647E84">
        <w:rPr>
          <w:rFonts w:ascii="Times New Roman" w:hAnsi="Times New Roman" w:cs="Times New Roman"/>
          <w:sz w:val="24"/>
          <w:szCs w:val="24"/>
          <w:lang w:val="es-ES"/>
        </w:rPr>
        <w:t xml:space="preserve">En </w:t>
      </w:r>
      <w:proofErr w:type="spellStart"/>
      <w:r w:rsidRPr="00647E84">
        <w:rPr>
          <w:rFonts w:ascii="Times New Roman" w:hAnsi="Times New Roman" w:cs="Times New Roman"/>
          <w:sz w:val="24"/>
          <w:szCs w:val="24"/>
          <w:u w:val="single"/>
          <w:lang w:val="es-ES"/>
        </w:rPr>
        <w:t>Asoc</w:t>
      </w:r>
      <w:proofErr w:type="spellEnd"/>
      <w:r w:rsidRPr="00647E84">
        <w:rPr>
          <w:rFonts w:ascii="Times New Roman" w:hAnsi="Times New Roman" w:cs="Times New Roman"/>
          <w:sz w:val="24"/>
          <w:szCs w:val="24"/>
          <w:u w:val="single"/>
          <w:lang w:val="es-ES"/>
        </w:rPr>
        <w:t>. Res. Colinas Metro. v. S.L.G.</w:t>
      </w:r>
      <w:r w:rsidRPr="00647E84">
        <w:rPr>
          <w:rFonts w:ascii="Times New Roman" w:hAnsi="Times New Roman" w:cs="Times New Roman"/>
          <w:sz w:val="24"/>
          <w:szCs w:val="24"/>
          <w:lang w:val="es-ES"/>
        </w:rPr>
        <w:t>, 156 DPR 88 (2002)</w:t>
      </w:r>
      <w:r w:rsidRPr="00647E84">
        <w:rPr>
          <w:rFonts w:ascii="Times New Roman" w:hAnsi="Times New Roman" w:cs="Times New Roman"/>
          <w:sz w:val="24"/>
          <w:szCs w:val="24"/>
          <w:lang w:val="es-ES"/>
        </w:rPr>
        <w:t xml:space="preserve"> el Tribunal Supremo nuestro señal</w:t>
      </w:r>
      <w:r w:rsidR="001A6570">
        <w:rPr>
          <w:rFonts w:ascii="Times New Roman" w:hAnsi="Times New Roman" w:cs="Times New Roman"/>
          <w:sz w:val="24"/>
          <w:szCs w:val="24"/>
          <w:lang w:val="es-ES"/>
        </w:rPr>
        <w:t>ó</w:t>
      </w:r>
      <w:r w:rsidRPr="00647E84">
        <w:rPr>
          <w:rFonts w:ascii="Times New Roman" w:hAnsi="Times New Roman" w:cs="Times New Roman"/>
          <w:sz w:val="24"/>
          <w:szCs w:val="24"/>
          <w:lang w:val="es-ES"/>
        </w:rPr>
        <w:t xml:space="preserve"> en términos generales el origen y propósito de dicha Regla; </w:t>
      </w:r>
    </w:p>
    <w:p w14:paraId="7587A656" w14:textId="77777777"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u w:val="single"/>
          <w:lang w:val="es-ES"/>
        </w:rPr>
        <w:t>Origen</w:t>
      </w:r>
      <w:r w:rsidRPr="00647E84">
        <w:rPr>
          <w:rFonts w:ascii="Times New Roman" w:hAnsi="Times New Roman" w:cs="Times New Roman"/>
          <w:sz w:val="24"/>
          <w:szCs w:val="24"/>
          <w:lang w:val="es-ES"/>
        </w:rPr>
        <w:t>: el concepto procesal de la Regla 60 de Procedimiento Civil tuvo su origen en las cortes especializadas en reclamaciones pequeñas.</w:t>
      </w:r>
    </w:p>
    <w:p w14:paraId="3FE656BC" w14:textId="0D4E34FE"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u w:val="single"/>
          <w:lang w:val="es-ES"/>
        </w:rPr>
        <w:t>Propósito</w:t>
      </w:r>
      <w:r w:rsidRPr="00647E84">
        <w:rPr>
          <w:rFonts w:ascii="Times New Roman" w:hAnsi="Times New Roman" w:cs="Times New Roman"/>
          <w:sz w:val="24"/>
          <w:szCs w:val="24"/>
          <w:lang w:val="es-ES"/>
        </w:rPr>
        <w:t xml:space="preserve">: establece sólo a grandes rasgos el procedimiento sumario sobre acciones de reclamaciones de cuantías pequeñas; hasta $15,000.00 - excluyendo los intereses. </w:t>
      </w:r>
    </w:p>
    <w:p w14:paraId="6F6C780F" w14:textId="0D7EB3FB" w:rsidR="0021059D" w:rsidRPr="00647E84" w:rsidRDefault="001A6570" w:rsidP="00647E84">
      <w:pPr>
        <w:pStyle w:val="ListParagraph"/>
        <w:numPr>
          <w:ilvl w:val="0"/>
          <w:numId w:val="1"/>
        </w:num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L</w:t>
      </w:r>
      <w:r w:rsidR="00647E84" w:rsidRPr="00647E84">
        <w:rPr>
          <w:rFonts w:ascii="Times New Roman" w:hAnsi="Times New Roman" w:cs="Times New Roman"/>
          <w:sz w:val="24"/>
          <w:szCs w:val="24"/>
          <w:lang w:val="es-ES"/>
        </w:rPr>
        <w:t>ee la Regla 60 de Procedimiento Civil al presente;</w:t>
      </w:r>
    </w:p>
    <w:p w14:paraId="4FD8FCBC" w14:textId="77777777"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Cuando se presente un pleito en cobro de una suma que no exceda los quince mil (15,000) dólares, excluyendo los intereses, y no se solicite en la demanda tramitar el caso bajo el procedimiento ordinario, la parte demandante deberá presentar un proyecto de notificación-</w:t>
      </w:r>
      <w:r w:rsidRPr="00647E84">
        <w:rPr>
          <w:rFonts w:ascii="Times New Roman" w:hAnsi="Times New Roman" w:cs="Times New Roman"/>
          <w:sz w:val="24"/>
          <w:szCs w:val="24"/>
          <w:lang w:val="es-ES"/>
        </w:rPr>
        <w:lastRenderedPageBreak/>
        <w:t xml:space="preserve">citación que será expedido inmediatamente por el </w:t>
      </w:r>
      <w:proofErr w:type="gramStart"/>
      <w:r w:rsidRPr="00647E84">
        <w:rPr>
          <w:rFonts w:ascii="Times New Roman" w:hAnsi="Times New Roman" w:cs="Times New Roman"/>
          <w:sz w:val="24"/>
          <w:szCs w:val="24"/>
          <w:lang w:val="es-ES"/>
        </w:rPr>
        <w:t>Secretario</w:t>
      </w:r>
      <w:proofErr w:type="gramEnd"/>
      <w:r w:rsidRPr="00647E84">
        <w:rPr>
          <w:rFonts w:ascii="Times New Roman" w:hAnsi="Times New Roman" w:cs="Times New Roman"/>
          <w:sz w:val="24"/>
          <w:szCs w:val="24"/>
          <w:lang w:val="es-ES"/>
        </w:rPr>
        <w:t xml:space="preserve"> o Secretaria. La parte demandante será responsable de diligenciar la notificación-citación dentro de un plazo de diez (10) días de presentada la demanda, incluyendo copia de ésta, mediante entrega personal conforme a lo dispuesto en la Regla 4 o por correo certificado. </w:t>
      </w:r>
    </w:p>
    <w:p w14:paraId="79DC3CA3" w14:textId="77777777"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 xml:space="preserve">La notificación-citación indicará la fecha señalada para la vista en su fondo, que se celebrará no más tarde de los tres (3) meses a partir de la presentación de la demanda, pero </w:t>
      </w:r>
      <w:proofErr w:type="gramStart"/>
      <w:r w:rsidRPr="00647E84">
        <w:rPr>
          <w:rFonts w:ascii="Times New Roman" w:hAnsi="Times New Roman" w:cs="Times New Roman"/>
          <w:sz w:val="24"/>
          <w:szCs w:val="24"/>
          <w:lang w:val="es-ES"/>
        </w:rPr>
        <w:t>nunca antes</w:t>
      </w:r>
      <w:proofErr w:type="gramEnd"/>
      <w:r w:rsidRPr="00647E84">
        <w:rPr>
          <w:rFonts w:ascii="Times New Roman" w:hAnsi="Times New Roman" w:cs="Times New Roman"/>
          <w:sz w:val="24"/>
          <w:szCs w:val="24"/>
          <w:lang w:val="es-ES"/>
        </w:rPr>
        <w:t xml:space="preserve"> de quince (15) días de la notificación a la parte demandada. En la notificación se advertirá a la parte demandada que en la vista deberá exponer su posición respecto a la reclamación, y que si no comparece podrá dictarse sentencia en rebeldía en su contra. </w:t>
      </w:r>
    </w:p>
    <w:p w14:paraId="5681B177" w14:textId="77777777"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La parte demandante podrá comparecer a la vista por sí o mediante representación legal. El Tribunal entenderá en todas las cuestiones litigiosas en el acto de la vista y dictará sentencia inmediatamente. Como anejo a la demanda, el demandante podrá acompañar una declaración jurada sosteniendo los hechos contenidos en la demanda o copia de cualquier otro documento que evidencie las reclamaciones de la demanda. Si la parte demandada no comparece y el Tribunal determina que fue debidamente notificada y que</w:t>
      </w:r>
      <w:r w:rsidRPr="00647E84">
        <w:rPr>
          <w:rFonts w:ascii="Times New Roman" w:hAnsi="Times New Roman" w:cs="Times New Roman"/>
          <w:sz w:val="24"/>
          <w:szCs w:val="24"/>
          <w:lang w:val="es-ES"/>
        </w:rPr>
        <w:t xml:space="preserve"> </w:t>
      </w:r>
      <w:r w:rsidRPr="00647E84">
        <w:rPr>
          <w:rFonts w:ascii="Times New Roman" w:hAnsi="Times New Roman" w:cs="Times New Roman"/>
          <w:sz w:val="24"/>
          <w:szCs w:val="24"/>
          <w:lang w:val="es-ES"/>
        </w:rPr>
        <w:t xml:space="preserve">le debe alguna suma a la parte demandante, será innecesaria la presentación de un testigo por parte del demandante y el Tribunal dictará sentencia conforme a lo establecido en la Regla 45. Si se demuestra al Tribunal que la parte demandada tiene alguna reclamación sustancial, o en el interés de la justicia, cualquiera de las partes tendrá derecho a solicitar que el pleito se continúe tramitando bajo el procedimiento ordinario prescrito por estas reglas o el Tribunal podrá motu proprio ordenarlo, sin que sea necesario cancelar la diferencia en aranceles que correspondan al procedimiento ordinario. </w:t>
      </w:r>
    </w:p>
    <w:p w14:paraId="66FBE398" w14:textId="30B979C8" w:rsidR="00647E84" w:rsidRP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Para la tramitación de un pleito conforme al procedimiento establecido en esta Regla, la parte demandante debe conocer y proveer el nombre y la última dirección conocida de la parte demandada al momento de la presentación de la acción judicial. De lo contrario, el pleito se tramitará bajo el procedimiento ordinario.</w:t>
      </w:r>
    </w:p>
    <w:p w14:paraId="5731F939" w14:textId="3A798947" w:rsidR="0021059D" w:rsidRDefault="00647E84" w:rsidP="00647E84">
      <w:pPr>
        <w:pStyle w:val="ListParagraph"/>
        <w:numPr>
          <w:ilvl w:val="0"/>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 xml:space="preserve">La jurisprudencia más importante sobre el trámite de Regla 60 es; (1) </w:t>
      </w:r>
      <w:r w:rsidR="00F906A7" w:rsidRPr="00647E84">
        <w:rPr>
          <w:rFonts w:ascii="Times New Roman" w:hAnsi="Times New Roman" w:cs="Times New Roman"/>
          <w:sz w:val="24"/>
          <w:szCs w:val="24"/>
          <w:u w:val="single"/>
          <w:lang w:val="es-ES"/>
        </w:rPr>
        <w:t xml:space="preserve">Rio Mar </w:t>
      </w:r>
      <w:proofErr w:type="spellStart"/>
      <w:r w:rsidR="00F906A7" w:rsidRPr="00647E84">
        <w:rPr>
          <w:rFonts w:ascii="Times New Roman" w:hAnsi="Times New Roman" w:cs="Times New Roman"/>
          <w:sz w:val="24"/>
          <w:szCs w:val="24"/>
          <w:u w:val="single"/>
          <w:lang w:val="es-ES"/>
        </w:rPr>
        <w:t>Community</w:t>
      </w:r>
      <w:proofErr w:type="spellEnd"/>
      <w:r w:rsidR="00F906A7" w:rsidRPr="00647E84">
        <w:rPr>
          <w:rFonts w:ascii="Times New Roman" w:hAnsi="Times New Roman" w:cs="Times New Roman"/>
          <w:sz w:val="24"/>
          <w:szCs w:val="24"/>
          <w:u w:val="single"/>
          <w:lang w:val="es-ES"/>
        </w:rPr>
        <w:t xml:space="preserve"> </w:t>
      </w:r>
      <w:proofErr w:type="spellStart"/>
      <w:r w:rsidR="00F906A7" w:rsidRPr="00647E84">
        <w:rPr>
          <w:rFonts w:ascii="Times New Roman" w:hAnsi="Times New Roman" w:cs="Times New Roman"/>
          <w:sz w:val="24"/>
          <w:szCs w:val="24"/>
          <w:u w:val="single"/>
          <w:lang w:val="es-ES"/>
        </w:rPr>
        <w:t>Association</w:t>
      </w:r>
      <w:proofErr w:type="spellEnd"/>
      <w:r w:rsidR="00F906A7" w:rsidRPr="00647E84">
        <w:rPr>
          <w:rFonts w:ascii="Times New Roman" w:hAnsi="Times New Roman" w:cs="Times New Roman"/>
          <w:sz w:val="24"/>
          <w:szCs w:val="24"/>
          <w:u w:val="single"/>
          <w:lang w:val="es-ES"/>
        </w:rPr>
        <w:t>, Inc. v. Mayol Bianchi</w:t>
      </w:r>
      <w:r w:rsidR="00F906A7" w:rsidRPr="00647E84">
        <w:rPr>
          <w:rFonts w:ascii="Times New Roman" w:hAnsi="Times New Roman" w:cs="Times New Roman"/>
          <w:sz w:val="24"/>
          <w:szCs w:val="24"/>
          <w:lang w:val="es-ES"/>
        </w:rPr>
        <w:t>, 2021 TSPR 138</w:t>
      </w:r>
      <w:r w:rsidRPr="00647E84">
        <w:rPr>
          <w:rFonts w:ascii="Times New Roman" w:hAnsi="Times New Roman" w:cs="Times New Roman"/>
          <w:sz w:val="24"/>
          <w:szCs w:val="24"/>
          <w:lang w:val="es-ES"/>
        </w:rPr>
        <w:t xml:space="preserve">, (2) </w:t>
      </w:r>
      <w:r w:rsidR="00F906A7" w:rsidRPr="00647E84">
        <w:rPr>
          <w:rFonts w:ascii="Times New Roman" w:hAnsi="Times New Roman" w:cs="Times New Roman"/>
          <w:sz w:val="24"/>
          <w:szCs w:val="24"/>
          <w:u w:val="single"/>
          <w:lang w:val="es-ES"/>
        </w:rPr>
        <w:t xml:space="preserve">Primera Cooperativa v. Hernández </w:t>
      </w:r>
      <w:proofErr w:type="spellStart"/>
      <w:r w:rsidR="00F906A7" w:rsidRPr="00647E84">
        <w:rPr>
          <w:rFonts w:ascii="Times New Roman" w:hAnsi="Times New Roman" w:cs="Times New Roman"/>
          <w:sz w:val="24"/>
          <w:szCs w:val="24"/>
          <w:u w:val="single"/>
          <w:lang w:val="es-ES"/>
        </w:rPr>
        <w:t>Hernández</w:t>
      </w:r>
      <w:proofErr w:type="spellEnd"/>
      <w:r w:rsidR="00F906A7" w:rsidRPr="00647E84">
        <w:rPr>
          <w:rFonts w:ascii="Times New Roman" w:hAnsi="Times New Roman" w:cs="Times New Roman"/>
          <w:sz w:val="24"/>
          <w:szCs w:val="24"/>
          <w:lang w:val="es-ES"/>
        </w:rPr>
        <w:t>, 2020 TSPR 127</w:t>
      </w:r>
      <w:r w:rsidRPr="00647E84">
        <w:rPr>
          <w:rFonts w:ascii="Times New Roman" w:hAnsi="Times New Roman" w:cs="Times New Roman"/>
          <w:sz w:val="24"/>
          <w:szCs w:val="24"/>
          <w:lang w:val="es-ES"/>
        </w:rPr>
        <w:t xml:space="preserve">, y (3) </w:t>
      </w:r>
      <w:proofErr w:type="spellStart"/>
      <w:r w:rsidR="00F906A7" w:rsidRPr="00647E84">
        <w:rPr>
          <w:rFonts w:ascii="Times New Roman" w:hAnsi="Times New Roman" w:cs="Times New Roman"/>
          <w:sz w:val="24"/>
          <w:szCs w:val="24"/>
          <w:u w:val="single"/>
          <w:lang w:val="es-ES"/>
        </w:rPr>
        <w:t>Asoc</w:t>
      </w:r>
      <w:proofErr w:type="spellEnd"/>
      <w:r w:rsidR="00F906A7" w:rsidRPr="00647E84">
        <w:rPr>
          <w:rFonts w:ascii="Times New Roman" w:hAnsi="Times New Roman" w:cs="Times New Roman"/>
          <w:sz w:val="24"/>
          <w:szCs w:val="24"/>
          <w:u w:val="single"/>
          <w:lang w:val="es-ES"/>
        </w:rPr>
        <w:t>. Res. Colinas Metro. v. S.L.G.</w:t>
      </w:r>
      <w:r w:rsidR="00F906A7" w:rsidRPr="00647E84">
        <w:rPr>
          <w:rFonts w:ascii="Times New Roman" w:hAnsi="Times New Roman" w:cs="Times New Roman"/>
          <w:sz w:val="24"/>
          <w:szCs w:val="24"/>
          <w:lang w:val="es-ES"/>
        </w:rPr>
        <w:t>, 156 DPR 88 (2002)</w:t>
      </w:r>
      <w:r w:rsidRPr="00647E84">
        <w:rPr>
          <w:rFonts w:ascii="Times New Roman" w:hAnsi="Times New Roman" w:cs="Times New Roman"/>
          <w:sz w:val="24"/>
          <w:szCs w:val="24"/>
          <w:lang w:val="es-ES"/>
        </w:rPr>
        <w:t>.</w:t>
      </w:r>
    </w:p>
    <w:p w14:paraId="639446D3" w14:textId="271C3B78" w:rsidR="00647E84" w:rsidRDefault="00647E84" w:rsidP="00647E84">
      <w:pPr>
        <w:pStyle w:val="ListParagraph"/>
        <w:numPr>
          <w:ilvl w:val="0"/>
          <w:numId w:val="1"/>
        </w:num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Pueden señalarse como normas generales sobre el trámite sumario l</w:t>
      </w:r>
      <w:r w:rsidR="001A6570">
        <w:rPr>
          <w:rFonts w:ascii="Times New Roman" w:hAnsi="Times New Roman" w:cs="Times New Roman"/>
          <w:sz w:val="24"/>
          <w:szCs w:val="24"/>
          <w:lang w:val="es-ES"/>
        </w:rPr>
        <w:t>a</w:t>
      </w:r>
      <w:r>
        <w:rPr>
          <w:rFonts w:ascii="Times New Roman" w:hAnsi="Times New Roman" w:cs="Times New Roman"/>
          <w:sz w:val="24"/>
          <w:szCs w:val="24"/>
          <w:lang w:val="es-ES"/>
        </w:rPr>
        <w:t xml:space="preserve">s siguientes; </w:t>
      </w:r>
    </w:p>
    <w:p w14:paraId="460025C3"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 xml:space="preserve">En una reclamación en cobro de $15,000.00 o menos, excluyendo intereses, </w:t>
      </w:r>
      <w:r w:rsidRPr="00647E84">
        <w:rPr>
          <w:rFonts w:ascii="Times New Roman" w:hAnsi="Times New Roman" w:cs="Times New Roman"/>
          <w:sz w:val="24"/>
          <w:szCs w:val="24"/>
          <w:u w:val="single"/>
          <w:lang w:val="es-ES_tradnl"/>
        </w:rPr>
        <w:t>donde no se solicite el trámite ordinario se tramitará bajo el trámite sumario</w:t>
      </w:r>
      <w:r w:rsidRPr="00647E84">
        <w:rPr>
          <w:rFonts w:ascii="Times New Roman" w:hAnsi="Times New Roman" w:cs="Times New Roman"/>
          <w:sz w:val="24"/>
          <w:szCs w:val="24"/>
          <w:lang w:val="es-ES_tradnl"/>
        </w:rPr>
        <w:t xml:space="preserve">.  </w:t>
      </w:r>
    </w:p>
    <w:p w14:paraId="0EB58182"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 xml:space="preserve">El demandante deberá presentar un proyecto notificación-citación (OAT 991-A). </w:t>
      </w:r>
    </w:p>
    <w:p w14:paraId="64361FA2"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 xml:space="preserve">La vista en su fondo se celebrará; 15 días luego de la notificación al demandado y no más tarde de 3 meses desde la presentación de la demanda.   </w:t>
      </w:r>
    </w:p>
    <w:p w14:paraId="0B6867AA"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 xml:space="preserve">Todos los asuntos litigiosos se atenderán en la vista. </w:t>
      </w:r>
    </w:p>
    <w:p w14:paraId="3F5DA81E"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Se pueden acompañar documentos con la demanda.</w:t>
      </w:r>
    </w:p>
    <w:p w14:paraId="07076C0E" w14:textId="77777777" w:rsidR="00647E84" w:rsidRPr="00647E84" w:rsidRDefault="00647E84" w:rsidP="00647E84">
      <w:pPr>
        <w:pStyle w:val="ListParagraph"/>
        <w:numPr>
          <w:ilvl w:val="1"/>
          <w:numId w:val="1"/>
        </w:numPr>
        <w:spacing w:line="360" w:lineRule="auto"/>
        <w:jc w:val="both"/>
        <w:rPr>
          <w:rFonts w:ascii="Times New Roman" w:hAnsi="Times New Roman" w:cs="Times New Roman"/>
          <w:sz w:val="24"/>
          <w:szCs w:val="24"/>
          <w:lang w:val="es-ES"/>
        </w:rPr>
      </w:pPr>
      <w:r w:rsidRPr="00647E84">
        <w:rPr>
          <w:rFonts w:ascii="Times New Roman" w:hAnsi="Times New Roman" w:cs="Times New Roman"/>
          <w:sz w:val="24"/>
          <w:szCs w:val="24"/>
          <w:lang w:val="es-ES_tradnl"/>
        </w:rPr>
        <w:t xml:space="preserve">Ante la ausencia del demandado a la vista puede dictarse sentencia en rebeldía. </w:t>
      </w:r>
    </w:p>
    <w:p w14:paraId="53F86186" w14:textId="6451D024" w:rsidR="00647E84" w:rsidRDefault="00647E84" w:rsidP="00647E84">
      <w:pPr>
        <w:pStyle w:val="ListParagraph"/>
        <w:numPr>
          <w:ilvl w:val="0"/>
          <w:numId w:val="1"/>
        </w:num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El concepto de rebeldía en la Regla 60</w:t>
      </w:r>
    </w:p>
    <w:p w14:paraId="31AAF030" w14:textId="7A44F6F8" w:rsidR="00647E84" w:rsidRDefault="00647E84" w:rsidP="00647E84">
      <w:pPr>
        <w:spacing w:line="360" w:lineRule="auto"/>
        <w:ind w:left="360"/>
        <w:jc w:val="both"/>
        <w:rPr>
          <w:rFonts w:ascii="Times New Roman" w:hAnsi="Times New Roman" w:cs="Times New Roman"/>
          <w:sz w:val="24"/>
          <w:szCs w:val="24"/>
          <w:lang w:val="es-ES"/>
        </w:rPr>
      </w:pPr>
      <w:r w:rsidRPr="00647E84">
        <w:rPr>
          <w:rFonts w:ascii="Times New Roman" w:hAnsi="Times New Roman" w:cs="Times New Roman"/>
          <w:sz w:val="24"/>
          <w:szCs w:val="24"/>
          <w:lang w:val="es-ES"/>
        </w:rPr>
        <w:t xml:space="preserve">“…para que un dictamen en rebeldía prevalezca en un litigio de cobro de dinero al amparo de esta norma procesal, el foro primario se </w:t>
      </w:r>
      <w:r w:rsidRPr="00647E84">
        <w:rPr>
          <w:rFonts w:ascii="Times New Roman" w:hAnsi="Times New Roman" w:cs="Times New Roman"/>
          <w:b/>
          <w:bCs/>
          <w:sz w:val="24"/>
          <w:szCs w:val="24"/>
          <w:u w:val="single"/>
          <w:lang w:val="es-ES"/>
        </w:rPr>
        <w:t>cerciorará</w:t>
      </w:r>
      <w:r w:rsidRPr="00647E84">
        <w:rPr>
          <w:rFonts w:ascii="Times New Roman" w:hAnsi="Times New Roman" w:cs="Times New Roman"/>
          <w:sz w:val="24"/>
          <w:szCs w:val="24"/>
          <w:lang w:val="es-ES"/>
        </w:rPr>
        <w:t xml:space="preserve"> de que: (1) </w:t>
      </w:r>
      <w:r w:rsidRPr="00647E84">
        <w:rPr>
          <w:rFonts w:ascii="Times New Roman" w:hAnsi="Times New Roman" w:cs="Times New Roman"/>
          <w:b/>
          <w:bCs/>
          <w:sz w:val="24"/>
          <w:szCs w:val="24"/>
          <w:u w:val="single"/>
          <w:lang w:val="es-ES"/>
        </w:rPr>
        <w:t>el demandado sea el deudor</w:t>
      </w:r>
      <w:r w:rsidRPr="00647E84">
        <w:rPr>
          <w:rFonts w:ascii="Times New Roman" w:hAnsi="Times New Roman" w:cs="Times New Roman"/>
          <w:sz w:val="24"/>
          <w:szCs w:val="24"/>
          <w:lang w:val="es-ES"/>
        </w:rPr>
        <w:t xml:space="preserve">, (2) </w:t>
      </w:r>
      <w:r w:rsidRPr="00647E84">
        <w:rPr>
          <w:rFonts w:ascii="Times New Roman" w:hAnsi="Times New Roman" w:cs="Times New Roman"/>
          <w:b/>
          <w:bCs/>
          <w:sz w:val="24"/>
          <w:szCs w:val="24"/>
          <w:u w:val="single"/>
          <w:lang w:val="es-ES"/>
        </w:rPr>
        <w:t>éste recibió la notificación-citación conforme a derecho</w:t>
      </w:r>
      <w:r w:rsidRPr="00647E84">
        <w:rPr>
          <w:rFonts w:ascii="Times New Roman" w:hAnsi="Times New Roman" w:cs="Times New Roman"/>
          <w:b/>
          <w:bCs/>
          <w:sz w:val="24"/>
          <w:szCs w:val="24"/>
          <w:lang w:val="es-ES"/>
        </w:rPr>
        <w:t xml:space="preserve"> </w:t>
      </w:r>
      <w:r w:rsidRPr="00647E84">
        <w:rPr>
          <w:rFonts w:ascii="Times New Roman" w:hAnsi="Times New Roman" w:cs="Times New Roman"/>
          <w:sz w:val="24"/>
          <w:szCs w:val="24"/>
          <w:lang w:val="es-ES"/>
        </w:rPr>
        <w:t xml:space="preserve">y, (3) </w:t>
      </w:r>
      <w:r w:rsidRPr="00647E84">
        <w:rPr>
          <w:rFonts w:ascii="Times New Roman" w:hAnsi="Times New Roman" w:cs="Times New Roman"/>
          <w:b/>
          <w:bCs/>
          <w:sz w:val="24"/>
          <w:szCs w:val="24"/>
          <w:u w:val="single"/>
          <w:lang w:val="es-ES"/>
        </w:rPr>
        <w:t>de la prueba aportada por el demandante, éste demostró que tiene una causa de acción de cobro de dinero líquida y exigible en contra del demandado</w:t>
      </w:r>
      <w:r w:rsidRPr="00647E84">
        <w:rPr>
          <w:rFonts w:ascii="Times New Roman" w:hAnsi="Times New Roman" w:cs="Times New Roman"/>
          <w:sz w:val="24"/>
          <w:szCs w:val="24"/>
          <w:lang w:val="es-ES"/>
        </w:rPr>
        <w:t xml:space="preserve">.” </w:t>
      </w:r>
      <w:r w:rsidRPr="00647E84">
        <w:rPr>
          <w:rFonts w:ascii="Times New Roman" w:hAnsi="Times New Roman" w:cs="Times New Roman"/>
          <w:sz w:val="24"/>
          <w:szCs w:val="24"/>
          <w:u w:val="single"/>
          <w:lang w:val="es-ES"/>
        </w:rPr>
        <w:t xml:space="preserve">Primera Cooperativa v. Hernández </w:t>
      </w:r>
      <w:proofErr w:type="spellStart"/>
      <w:r w:rsidRPr="00647E84">
        <w:rPr>
          <w:rFonts w:ascii="Times New Roman" w:hAnsi="Times New Roman" w:cs="Times New Roman"/>
          <w:sz w:val="24"/>
          <w:szCs w:val="24"/>
          <w:u w:val="single"/>
          <w:lang w:val="es-ES"/>
        </w:rPr>
        <w:t>Hernández</w:t>
      </w:r>
      <w:proofErr w:type="spellEnd"/>
      <w:r w:rsidRPr="00647E84">
        <w:rPr>
          <w:rFonts w:ascii="Times New Roman" w:hAnsi="Times New Roman" w:cs="Times New Roman"/>
          <w:sz w:val="24"/>
          <w:szCs w:val="24"/>
          <w:lang w:val="es-ES"/>
        </w:rPr>
        <w:t xml:space="preserve">, </w:t>
      </w:r>
      <w:r>
        <w:rPr>
          <w:rFonts w:ascii="Times New Roman" w:hAnsi="Times New Roman" w:cs="Times New Roman"/>
          <w:i/>
          <w:iCs/>
          <w:sz w:val="24"/>
          <w:szCs w:val="24"/>
          <w:lang w:val="es-ES"/>
        </w:rPr>
        <w:t>supra</w:t>
      </w:r>
      <w:r w:rsidRPr="00647E84">
        <w:rPr>
          <w:rFonts w:ascii="Times New Roman" w:hAnsi="Times New Roman" w:cs="Times New Roman"/>
          <w:sz w:val="24"/>
          <w:szCs w:val="24"/>
          <w:lang w:val="es-ES"/>
        </w:rPr>
        <w:t>.</w:t>
      </w:r>
      <w:r>
        <w:rPr>
          <w:rFonts w:ascii="Times New Roman" w:hAnsi="Times New Roman" w:cs="Times New Roman"/>
          <w:sz w:val="24"/>
          <w:szCs w:val="24"/>
          <w:lang w:val="es-ES"/>
        </w:rPr>
        <w:t xml:space="preserve"> (Énfasis nuestro). </w:t>
      </w:r>
    </w:p>
    <w:p w14:paraId="494F7173" w14:textId="5F713A10" w:rsidR="00B55157" w:rsidRDefault="00B55157" w:rsidP="00647E84">
      <w:pPr>
        <w:pStyle w:val="ListParagraph"/>
        <w:numPr>
          <w:ilvl w:val="0"/>
          <w:numId w:val="1"/>
        </w:numPr>
        <w:spacing w:line="360" w:lineRule="auto"/>
        <w:jc w:val="both"/>
        <w:rPr>
          <w:rFonts w:ascii="Times New Roman" w:hAnsi="Times New Roman" w:cs="Times New Roman"/>
          <w:sz w:val="24"/>
          <w:szCs w:val="24"/>
          <w:lang w:val="es-ES"/>
        </w:rPr>
      </w:pPr>
      <w:r w:rsidRPr="00B55157">
        <w:rPr>
          <w:rFonts w:ascii="Times New Roman" w:hAnsi="Times New Roman" w:cs="Times New Roman"/>
          <w:sz w:val="24"/>
          <w:szCs w:val="24"/>
          <w:lang w:val="es-ES"/>
        </w:rPr>
        <w:t>Un asunto que genera algo de controversia es la conversión al tr</w:t>
      </w:r>
      <w:r>
        <w:rPr>
          <w:rFonts w:ascii="Times New Roman" w:hAnsi="Times New Roman" w:cs="Times New Roman"/>
          <w:sz w:val="24"/>
          <w:szCs w:val="24"/>
          <w:lang w:val="es-ES"/>
        </w:rPr>
        <w:t xml:space="preserve">ámite ordinario, apunta la Regla 60, </w:t>
      </w:r>
      <w:r w:rsidRPr="00B55157">
        <w:rPr>
          <w:rFonts w:ascii="Times New Roman" w:hAnsi="Times New Roman" w:cs="Times New Roman"/>
          <w:i/>
          <w:iCs/>
          <w:sz w:val="24"/>
          <w:szCs w:val="24"/>
          <w:lang w:val="es-ES"/>
        </w:rPr>
        <w:t>supra</w:t>
      </w:r>
      <w:r>
        <w:rPr>
          <w:rFonts w:ascii="Times New Roman" w:hAnsi="Times New Roman" w:cs="Times New Roman"/>
          <w:sz w:val="24"/>
          <w:szCs w:val="24"/>
          <w:lang w:val="es-ES"/>
        </w:rPr>
        <w:t xml:space="preserve">;  </w:t>
      </w:r>
    </w:p>
    <w:p w14:paraId="1F1C2FC5" w14:textId="77777777" w:rsidR="00B55157" w:rsidRPr="00B55157" w:rsidRDefault="00B55157" w:rsidP="001A6570">
      <w:pPr>
        <w:spacing w:line="360" w:lineRule="auto"/>
        <w:ind w:left="720"/>
        <w:jc w:val="both"/>
        <w:rPr>
          <w:rFonts w:ascii="Times New Roman" w:hAnsi="Times New Roman" w:cs="Times New Roman"/>
          <w:sz w:val="24"/>
          <w:szCs w:val="24"/>
          <w:lang w:val="es-ES"/>
        </w:rPr>
      </w:pPr>
      <w:r w:rsidRPr="00B55157">
        <w:rPr>
          <w:rFonts w:ascii="Times New Roman" w:hAnsi="Times New Roman" w:cs="Times New Roman"/>
          <w:sz w:val="24"/>
          <w:szCs w:val="24"/>
          <w:lang w:val="es-ES"/>
        </w:rPr>
        <w:t xml:space="preserve">“Si se demuestra al Tribunal que la </w:t>
      </w:r>
      <w:r w:rsidRPr="00B55157">
        <w:rPr>
          <w:rFonts w:ascii="Times New Roman" w:hAnsi="Times New Roman" w:cs="Times New Roman"/>
          <w:sz w:val="24"/>
          <w:szCs w:val="24"/>
          <w:u w:val="single"/>
          <w:lang w:val="es-ES"/>
        </w:rPr>
        <w:t>parte demandada</w:t>
      </w:r>
      <w:r w:rsidRPr="00B55157">
        <w:rPr>
          <w:rFonts w:ascii="Times New Roman" w:hAnsi="Times New Roman" w:cs="Times New Roman"/>
          <w:sz w:val="24"/>
          <w:szCs w:val="24"/>
          <w:lang w:val="es-ES"/>
        </w:rPr>
        <w:t xml:space="preserve"> tiene alguna </w:t>
      </w:r>
      <w:r w:rsidRPr="00B55157">
        <w:rPr>
          <w:rFonts w:ascii="Times New Roman" w:hAnsi="Times New Roman" w:cs="Times New Roman"/>
          <w:b/>
          <w:bCs/>
          <w:sz w:val="24"/>
          <w:szCs w:val="24"/>
          <w:u w:val="single"/>
          <w:lang w:val="es-ES"/>
        </w:rPr>
        <w:t>reclamación sustancial</w:t>
      </w:r>
      <w:r w:rsidRPr="00B55157">
        <w:rPr>
          <w:rFonts w:ascii="Times New Roman" w:hAnsi="Times New Roman" w:cs="Times New Roman"/>
          <w:sz w:val="24"/>
          <w:szCs w:val="24"/>
          <w:lang w:val="es-ES"/>
        </w:rPr>
        <w:t xml:space="preserve">, o </w:t>
      </w:r>
      <w:r w:rsidRPr="00B55157">
        <w:rPr>
          <w:rFonts w:ascii="Times New Roman" w:hAnsi="Times New Roman" w:cs="Times New Roman"/>
          <w:b/>
          <w:bCs/>
          <w:sz w:val="24"/>
          <w:szCs w:val="24"/>
          <w:u w:val="single"/>
          <w:lang w:val="es-ES"/>
        </w:rPr>
        <w:t>en el interés de la justicia</w:t>
      </w:r>
      <w:r w:rsidRPr="00B55157">
        <w:rPr>
          <w:rFonts w:ascii="Times New Roman" w:hAnsi="Times New Roman" w:cs="Times New Roman"/>
          <w:sz w:val="24"/>
          <w:szCs w:val="24"/>
          <w:lang w:val="es-ES"/>
        </w:rPr>
        <w:t xml:space="preserve">, cualquiera de las partes tendrá derecho a solicitar que el pleito se continúe tramitando bajo el procedimiento ordinario prescrito por estas reglas o </w:t>
      </w:r>
      <w:r w:rsidRPr="00B55157">
        <w:rPr>
          <w:rFonts w:ascii="Times New Roman" w:hAnsi="Times New Roman" w:cs="Times New Roman"/>
          <w:b/>
          <w:bCs/>
          <w:sz w:val="24"/>
          <w:szCs w:val="24"/>
          <w:u w:val="single"/>
          <w:lang w:val="es-ES"/>
        </w:rPr>
        <w:t xml:space="preserve">el Tribunal podrá </w:t>
      </w:r>
      <w:r w:rsidRPr="00B55157">
        <w:rPr>
          <w:rFonts w:ascii="Times New Roman" w:hAnsi="Times New Roman" w:cs="Times New Roman"/>
          <w:b/>
          <w:bCs/>
          <w:i/>
          <w:iCs/>
          <w:sz w:val="24"/>
          <w:szCs w:val="24"/>
          <w:u w:val="single"/>
          <w:lang w:val="es-ES"/>
        </w:rPr>
        <w:t>motu proprio</w:t>
      </w:r>
      <w:r w:rsidRPr="00B55157">
        <w:rPr>
          <w:rFonts w:ascii="Times New Roman" w:hAnsi="Times New Roman" w:cs="Times New Roman"/>
          <w:i/>
          <w:iCs/>
          <w:sz w:val="24"/>
          <w:szCs w:val="24"/>
          <w:lang w:val="es-ES"/>
        </w:rPr>
        <w:t xml:space="preserve"> </w:t>
      </w:r>
      <w:r w:rsidRPr="00B55157">
        <w:rPr>
          <w:rFonts w:ascii="Times New Roman" w:hAnsi="Times New Roman" w:cs="Times New Roman"/>
          <w:sz w:val="24"/>
          <w:szCs w:val="24"/>
          <w:lang w:val="es-ES"/>
        </w:rPr>
        <w:t>ordenarlo, sin que sea necesario cancelar la diferencia en aranceles que correspondan al procedimiento ordinario.”</w:t>
      </w:r>
    </w:p>
    <w:p w14:paraId="1849A349" w14:textId="0B256BB8" w:rsidR="001A6570" w:rsidRPr="001A6570" w:rsidRDefault="00B55157" w:rsidP="001A6570">
      <w:pPr>
        <w:pStyle w:val="ListParagraph"/>
        <w:numPr>
          <w:ilvl w:val="0"/>
          <w:numId w:val="1"/>
        </w:numPr>
        <w:spacing w:line="360" w:lineRule="auto"/>
        <w:jc w:val="both"/>
        <w:rPr>
          <w:rFonts w:ascii="Times New Roman" w:hAnsi="Times New Roman" w:cs="Times New Roman"/>
          <w:sz w:val="24"/>
          <w:szCs w:val="24"/>
          <w:lang w:val="es-ES"/>
        </w:rPr>
      </w:pPr>
      <w:r w:rsidRPr="00B55157">
        <w:rPr>
          <w:rFonts w:ascii="Times New Roman" w:hAnsi="Times New Roman" w:cs="Times New Roman"/>
          <w:sz w:val="24"/>
          <w:szCs w:val="24"/>
          <w:lang w:val="es-ES"/>
        </w:rPr>
        <w:t xml:space="preserve">Sobre </w:t>
      </w:r>
      <w:r>
        <w:rPr>
          <w:rFonts w:ascii="Times New Roman" w:hAnsi="Times New Roman" w:cs="Times New Roman"/>
          <w:sz w:val="24"/>
          <w:szCs w:val="24"/>
          <w:lang w:val="es-ES"/>
        </w:rPr>
        <w:t>la redacción</w:t>
      </w:r>
      <w:r w:rsidRPr="00B55157">
        <w:rPr>
          <w:rFonts w:ascii="Times New Roman" w:hAnsi="Times New Roman" w:cs="Times New Roman"/>
          <w:sz w:val="24"/>
          <w:szCs w:val="24"/>
          <w:lang w:val="es-ES"/>
        </w:rPr>
        <w:t xml:space="preserve"> de la demanda debe estar contenido lo siguiente; </w:t>
      </w:r>
    </w:p>
    <w:p w14:paraId="316FE053" w14:textId="790F3A6F" w:rsidR="00B55157" w:rsidRPr="00B55157" w:rsidRDefault="00B55157" w:rsidP="001A6570">
      <w:pPr>
        <w:pStyle w:val="ListParagraph"/>
        <w:numPr>
          <w:ilvl w:val="0"/>
          <w:numId w:val="6"/>
        </w:numPr>
        <w:spacing w:line="360" w:lineRule="auto"/>
        <w:jc w:val="both"/>
        <w:rPr>
          <w:rFonts w:ascii="Times New Roman" w:eastAsia="Times New Roman" w:hAnsi="Times New Roman" w:cs="Times New Roman"/>
          <w:sz w:val="24"/>
        </w:rPr>
      </w:pPr>
      <w:r w:rsidRPr="00B55157">
        <w:rPr>
          <w:rFonts w:ascii="Times New Roman" w:eastAsiaTheme="minorEastAsia" w:hAnsi="Times New Roman" w:cs="Times New Roman"/>
          <w:color w:val="000000" w:themeColor="text1"/>
          <w:spacing w:val="10"/>
          <w:kern w:val="24"/>
          <w:sz w:val="24"/>
          <w:szCs w:val="24"/>
          <w:lang w:val="es-ES_tradnl"/>
        </w:rPr>
        <w:t xml:space="preserve">Información de las partes </w:t>
      </w:r>
    </w:p>
    <w:p w14:paraId="2BFDA665" w14:textId="77777777" w:rsidR="00B55157" w:rsidRPr="00B55157" w:rsidRDefault="00B55157" w:rsidP="001A6570">
      <w:pPr>
        <w:spacing w:line="360" w:lineRule="auto"/>
        <w:jc w:val="both"/>
        <w:rPr>
          <w:rFonts w:ascii="Times New Roman" w:eastAsia="Times New Roman" w:hAnsi="Times New Roman" w:cs="Times New Roman"/>
          <w:lang w:val="es-ES"/>
        </w:rPr>
      </w:pPr>
      <w:r w:rsidRPr="00B55157">
        <w:rPr>
          <w:rFonts w:ascii="Times New Roman" w:eastAsiaTheme="minorEastAsia" w:hAnsi="Times New Roman" w:cs="Times New Roman"/>
          <w:color w:val="000000" w:themeColor="text1"/>
          <w:spacing w:val="10"/>
          <w:kern w:val="24"/>
          <w:sz w:val="24"/>
          <w:szCs w:val="24"/>
          <w:lang w:val="es-ES"/>
        </w:rPr>
        <w:t xml:space="preserve">Para la tramitación de un pleito conforme al procedimiento establecido en esta Regla, la parte demandante debe conocer y proveer el nombre y la última dirección conocida de la parte demandada al momento de la presentación de la acción judicial. </w:t>
      </w:r>
      <w:r w:rsidRPr="00B55157">
        <w:rPr>
          <w:rFonts w:ascii="Times New Roman" w:eastAsiaTheme="minorEastAsia" w:hAnsi="Times New Roman" w:cs="Times New Roman"/>
          <w:b/>
          <w:bCs/>
          <w:color w:val="000000" w:themeColor="text1"/>
          <w:spacing w:val="10"/>
          <w:kern w:val="24"/>
          <w:sz w:val="24"/>
          <w:szCs w:val="24"/>
          <w:u w:val="single"/>
          <w:lang w:val="es-ES"/>
        </w:rPr>
        <w:t>De lo contrario, el pleito se tramitará bajo el procedimiento ordinario</w:t>
      </w:r>
      <w:r w:rsidRPr="00B55157">
        <w:rPr>
          <w:rFonts w:ascii="Times New Roman" w:eastAsiaTheme="minorEastAsia" w:hAnsi="Times New Roman" w:cs="Times New Roman"/>
          <w:color w:val="000000" w:themeColor="text1"/>
          <w:spacing w:val="10"/>
          <w:kern w:val="24"/>
          <w:sz w:val="24"/>
          <w:szCs w:val="24"/>
          <w:lang w:val="es-ES"/>
        </w:rPr>
        <w:t>.</w:t>
      </w:r>
    </w:p>
    <w:p w14:paraId="3CE54D27" w14:textId="40C84A35" w:rsidR="00B55157" w:rsidRPr="00B55157" w:rsidRDefault="00B55157" w:rsidP="001A6570">
      <w:pPr>
        <w:pStyle w:val="ListParagraph"/>
        <w:numPr>
          <w:ilvl w:val="0"/>
          <w:numId w:val="6"/>
        </w:numPr>
        <w:spacing w:line="360" w:lineRule="auto"/>
        <w:jc w:val="both"/>
        <w:rPr>
          <w:rFonts w:ascii="Times New Roman" w:eastAsia="Times New Roman" w:hAnsi="Times New Roman" w:cs="Times New Roman"/>
          <w:sz w:val="24"/>
          <w:lang w:val="es-ES"/>
        </w:rPr>
      </w:pPr>
      <w:r w:rsidRPr="00B55157">
        <w:rPr>
          <w:rFonts w:ascii="Times New Roman" w:eastAsiaTheme="minorEastAsia" w:hAnsi="Times New Roman" w:cs="Times New Roman"/>
          <w:color w:val="000000" w:themeColor="text1"/>
          <w:spacing w:val="10"/>
          <w:kern w:val="24"/>
          <w:sz w:val="24"/>
          <w:szCs w:val="24"/>
          <w:lang w:val="es-ES"/>
        </w:rPr>
        <w:t xml:space="preserve">El origen de la obligación </w:t>
      </w:r>
    </w:p>
    <w:p w14:paraId="43CDB08D" w14:textId="4F63C919" w:rsidR="00B55157" w:rsidRPr="00B55157" w:rsidRDefault="00B55157" w:rsidP="001A6570">
      <w:pPr>
        <w:pStyle w:val="ListParagraph"/>
        <w:numPr>
          <w:ilvl w:val="0"/>
          <w:numId w:val="6"/>
        </w:numPr>
        <w:spacing w:line="360" w:lineRule="auto"/>
        <w:jc w:val="both"/>
        <w:rPr>
          <w:rFonts w:ascii="Times New Roman" w:eastAsia="Times New Roman" w:hAnsi="Times New Roman" w:cs="Times New Roman"/>
          <w:sz w:val="24"/>
        </w:rPr>
      </w:pPr>
      <w:r w:rsidRPr="00B55157">
        <w:rPr>
          <w:rFonts w:ascii="Times New Roman" w:eastAsiaTheme="minorEastAsia" w:hAnsi="Times New Roman" w:cs="Times New Roman"/>
          <w:color w:val="000000" w:themeColor="text1"/>
          <w:spacing w:val="10"/>
          <w:kern w:val="24"/>
          <w:sz w:val="24"/>
          <w:szCs w:val="24"/>
          <w:lang w:val="es-ES"/>
        </w:rPr>
        <w:t>La cantidad adeudada</w:t>
      </w:r>
    </w:p>
    <w:p w14:paraId="3900A3C1" w14:textId="77777777" w:rsidR="001A6570" w:rsidRPr="001A6570" w:rsidRDefault="00B55157" w:rsidP="001A6570">
      <w:pPr>
        <w:pStyle w:val="ListParagraph"/>
        <w:numPr>
          <w:ilvl w:val="0"/>
          <w:numId w:val="6"/>
        </w:numPr>
        <w:spacing w:line="360" w:lineRule="auto"/>
        <w:jc w:val="both"/>
        <w:rPr>
          <w:rFonts w:ascii="Times New Roman" w:eastAsia="Times New Roman" w:hAnsi="Times New Roman" w:cs="Times New Roman"/>
          <w:sz w:val="24"/>
        </w:rPr>
      </w:pPr>
      <w:r w:rsidRPr="00B55157">
        <w:rPr>
          <w:rFonts w:ascii="Times New Roman" w:eastAsiaTheme="minorEastAsia" w:hAnsi="Times New Roman" w:cs="Times New Roman"/>
          <w:color w:val="000000" w:themeColor="text1"/>
          <w:spacing w:val="10"/>
          <w:kern w:val="24"/>
          <w:sz w:val="24"/>
          <w:szCs w:val="24"/>
          <w:lang w:val="es-ES"/>
        </w:rPr>
        <w:t xml:space="preserve">Súplica </w:t>
      </w:r>
    </w:p>
    <w:p w14:paraId="3B71374D" w14:textId="0ACB6C26" w:rsidR="00B55157" w:rsidRPr="001A6570" w:rsidRDefault="00B55157" w:rsidP="001A6570">
      <w:pPr>
        <w:spacing w:line="360" w:lineRule="auto"/>
        <w:jc w:val="both"/>
        <w:rPr>
          <w:rFonts w:ascii="Times New Roman" w:eastAsia="Times New Roman" w:hAnsi="Times New Roman" w:cs="Times New Roman"/>
          <w:sz w:val="24"/>
          <w:lang w:val="es-ES"/>
        </w:rPr>
      </w:pPr>
      <w:r w:rsidRPr="001A6570">
        <w:rPr>
          <w:rFonts w:ascii="Times New Roman" w:hAnsi="Times New Roman" w:cs="Times New Roman"/>
          <w:sz w:val="24"/>
          <w:szCs w:val="24"/>
          <w:lang w:val="es-ES"/>
        </w:rPr>
        <w:t>“Regla de oro” sobre las alegaciones;</w:t>
      </w:r>
    </w:p>
    <w:p w14:paraId="4542FA5F" w14:textId="4484DA08" w:rsidR="00B55157" w:rsidRDefault="00B55157" w:rsidP="00B55157">
      <w:pPr>
        <w:spacing w:line="360" w:lineRule="auto"/>
        <w:jc w:val="both"/>
        <w:rPr>
          <w:rFonts w:ascii="Times New Roman" w:hAnsi="Times New Roman" w:cs="Times New Roman"/>
          <w:bCs/>
          <w:sz w:val="24"/>
          <w:szCs w:val="24"/>
          <w:lang w:val="es-ES_tradnl"/>
        </w:rPr>
      </w:pPr>
      <w:r w:rsidRPr="00B55157">
        <w:rPr>
          <w:rFonts w:ascii="Times New Roman" w:hAnsi="Times New Roman" w:cs="Times New Roman"/>
          <w:bCs/>
          <w:sz w:val="24"/>
          <w:szCs w:val="24"/>
          <w:lang w:val="es-ES_tradnl"/>
        </w:rPr>
        <w:t>Las alegaciones son un resumen generalizado de la posición de cada una de las partes con respecto a los hechos y la controversia que dan base a la reclamación del caso. Se presentan como bosquejos escritos que brindan notificación al tribunal y a la parte contraria.</w:t>
      </w:r>
      <w:r w:rsidRPr="00B55157">
        <w:rPr>
          <w:rFonts w:ascii="Times New Roman" w:hAnsi="Times New Roman" w:cs="Times New Roman"/>
          <w:bCs/>
          <w:sz w:val="24"/>
          <w:szCs w:val="24"/>
          <w:vertAlign w:val="superscript"/>
          <w:lang w:val="es-ES_tradnl"/>
        </w:rPr>
        <w:footnoteReference w:id="1"/>
      </w:r>
      <w:r w:rsidRPr="00B55157">
        <w:rPr>
          <w:rFonts w:ascii="Times New Roman" w:hAnsi="Times New Roman" w:cs="Times New Roman"/>
          <w:bCs/>
          <w:sz w:val="24"/>
          <w:szCs w:val="24"/>
          <w:lang w:val="es-ES_tradnl"/>
        </w:rPr>
        <w:t xml:space="preserve"> Las alegaciones deben establecer que el peticionario tiene derecho a un remedio, mediante una relación breve y sencilla de los hechos que fundamentan su reclamación.</w:t>
      </w:r>
      <w:r w:rsidRPr="00B55157">
        <w:rPr>
          <w:rFonts w:ascii="Times New Roman" w:hAnsi="Times New Roman" w:cs="Times New Roman"/>
          <w:bCs/>
          <w:sz w:val="24"/>
          <w:szCs w:val="24"/>
          <w:vertAlign w:val="superscript"/>
          <w:lang w:val="es-ES_tradnl"/>
        </w:rPr>
        <w:footnoteReference w:id="2"/>
      </w:r>
      <w:r w:rsidRPr="00B55157">
        <w:rPr>
          <w:rFonts w:ascii="Times New Roman" w:hAnsi="Times New Roman" w:cs="Times New Roman"/>
          <w:bCs/>
          <w:sz w:val="24"/>
          <w:szCs w:val="24"/>
          <w:lang w:val="es-ES_tradnl"/>
        </w:rPr>
        <w:t xml:space="preserve"> </w:t>
      </w:r>
    </w:p>
    <w:p w14:paraId="37AD3FA5" w14:textId="10EF88C9" w:rsidR="00B55157" w:rsidRDefault="00B55157" w:rsidP="00B55157">
      <w:pPr>
        <w:pStyle w:val="ListParagraph"/>
        <w:numPr>
          <w:ilvl w:val="0"/>
          <w:numId w:val="1"/>
        </w:numPr>
        <w:spacing w:line="360"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¿Viene obligada la parte demandada a contestar la demanda? </w:t>
      </w:r>
    </w:p>
    <w:p w14:paraId="1ED6E9CB" w14:textId="5A74B9BD" w:rsidR="00B55157" w:rsidRDefault="00B55157" w:rsidP="001A6570">
      <w:pPr>
        <w:spacing w:line="360" w:lineRule="auto"/>
        <w:jc w:val="both"/>
        <w:rPr>
          <w:rFonts w:ascii="Times New Roman" w:hAnsi="Times New Roman" w:cs="Times New Roman"/>
          <w:bCs/>
          <w:sz w:val="24"/>
          <w:szCs w:val="24"/>
          <w:lang w:val="es-ES"/>
        </w:rPr>
      </w:pPr>
      <w:r w:rsidRPr="00B55157">
        <w:rPr>
          <w:rFonts w:ascii="Times New Roman" w:hAnsi="Times New Roman" w:cs="Times New Roman"/>
          <w:bCs/>
          <w:sz w:val="24"/>
          <w:szCs w:val="24"/>
          <w:lang w:val="es-ES"/>
        </w:rPr>
        <w:t xml:space="preserve">“…el emplazamiento por edicto, </w:t>
      </w:r>
      <w:r w:rsidRPr="00B55157">
        <w:rPr>
          <w:rFonts w:ascii="Times New Roman" w:hAnsi="Times New Roman" w:cs="Times New Roman"/>
          <w:b/>
          <w:sz w:val="24"/>
          <w:szCs w:val="24"/>
          <w:u w:val="single"/>
          <w:lang w:val="es-ES"/>
        </w:rPr>
        <w:t>la contestación a la demanda</w:t>
      </w:r>
      <w:r w:rsidRPr="00B55157">
        <w:rPr>
          <w:rFonts w:ascii="Times New Roman" w:hAnsi="Times New Roman" w:cs="Times New Roman"/>
          <w:bCs/>
          <w:sz w:val="24"/>
          <w:szCs w:val="24"/>
          <w:lang w:val="es-ES"/>
        </w:rPr>
        <w:t xml:space="preserve">, el descubrimiento de prueba, las reconvenciones, la demanda contra terceros, entre otros, son preceptos incompatibles con esta herramienta sumaria.” </w:t>
      </w:r>
      <w:r w:rsidRPr="00B55157">
        <w:rPr>
          <w:rFonts w:ascii="Times New Roman" w:hAnsi="Times New Roman" w:cs="Times New Roman"/>
          <w:bCs/>
          <w:sz w:val="24"/>
          <w:szCs w:val="24"/>
          <w:u w:val="single"/>
          <w:lang w:val="es-ES"/>
        </w:rPr>
        <w:t xml:space="preserve">Primera Cooperativa v. Hernández </w:t>
      </w:r>
      <w:proofErr w:type="spellStart"/>
      <w:r w:rsidRPr="00B55157">
        <w:rPr>
          <w:rFonts w:ascii="Times New Roman" w:hAnsi="Times New Roman" w:cs="Times New Roman"/>
          <w:bCs/>
          <w:sz w:val="24"/>
          <w:szCs w:val="24"/>
          <w:u w:val="single"/>
          <w:lang w:val="es-ES"/>
        </w:rPr>
        <w:t>Hernández</w:t>
      </w:r>
      <w:proofErr w:type="spellEnd"/>
      <w:r w:rsidRPr="00B55157">
        <w:rPr>
          <w:rFonts w:ascii="Times New Roman" w:hAnsi="Times New Roman" w:cs="Times New Roman"/>
          <w:bCs/>
          <w:sz w:val="24"/>
          <w:szCs w:val="24"/>
          <w:lang w:val="es-ES"/>
        </w:rPr>
        <w:t xml:space="preserve">, </w:t>
      </w:r>
      <w:r w:rsidRPr="00B55157">
        <w:rPr>
          <w:rFonts w:ascii="Times New Roman" w:hAnsi="Times New Roman" w:cs="Times New Roman"/>
          <w:bCs/>
          <w:i/>
          <w:iCs/>
          <w:sz w:val="24"/>
          <w:szCs w:val="24"/>
          <w:lang w:val="es-ES"/>
        </w:rPr>
        <w:t>supra</w:t>
      </w:r>
      <w:r w:rsidRPr="00B55157">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(Énfasis nuestro).</w:t>
      </w:r>
    </w:p>
    <w:p w14:paraId="4B065ECD" w14:textId="50DB2316" w:rsidR="00B55157" w:rsidRDefault="00B55157" w:rsidP="00B55157">
      <w:pPr>
        <w:spacing w:line="360" w:lineRule="auto"/>
        <w:ind w:left="360"/>
        <w:jc w:val="both"/>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 xml:space="preserve">Lo anterior implica, que, no tiene que presentarse una contestación a demanda. Ahora bien, por haberse presentado la misma no implica que el caso se tramitará por la vía ordinaria.  </w:t>
      </w:r>
    </w:p>
    <w:p w14:paraId="5A27BEF3" w14:textId="436D4BD6" w:rsidR="00B55157" w:rsidRDefault="00B55157" w:rsidP="00B55157">
      <w:pPr>
        <w:pStyle w:val="ListParagraph"/>
        <w:numPr>
          <w:ilvl w:val="0"/>
          <w:numId w:val="1"/>
        </w:numPr>
        <w:spacing w:line="360" w:lineRule="auto"/>
        <w:rPr>
          <w:rFonts w:ascii="Times New Roman" w:hAnsi="Times New Roman" w:cs="Times New Roman"/>
          <w:bCs/>
          <w:sz w:val="24"/>
          <w:szCs w:val="24"/>
          <w:lang w:val="es-ES"/>
        </w:rPr>
      </w:pPr>
      <w:r>
        <w:rPr>
          <w:rFonts w:ascii="Times New Roman" w:hAnsi="Times New Roman" w:cs="Times New Roman"/>
          <w:bCs/>
          <w:sz w:val="24"/>
          <w:szCs w:val="24"/>
          <w:lang w:val="es-ES"/>
        </w:rPr>
        <w:t>¿Qué reglas aplican al proceso sumario de “Regla 60”?</w:t>
      </w:r>
      <w:r w:rsidRPr="00B55157">
        <w:rPr>
          <w:rFonts w:ascii="Times New Roman" w:hAnsi="Times New Roman" w:cs="Times New Roman"/>
          <w:bCs/>
          <w:sz w:val="24"/>
          <w:szCs w:val="24"/>
          <w:lang w:val="es-ES"/>
        </w:rPr>
        <w:t xml:space="preserve">   </w:t>
      </w:r>
    </w:p>
    <w:p w14:paraId="66507085" w14:textId="01DDEF58" w:rsidR="00B55157" w:rsidRDefault="00B55157" w:rsidP="00B55157">
      <w:pPr>
        <w:spacing w:line="360" w:lineRule="auto"/>
        <w:ind w:left="360"/>
        <w:jc w:val="both"/>
        <w:rPr>
          <w:rFonts w:ascii="Times New Roman" w:hAnsi="Times New Roman" w:cs="Times New Roman"/>
          <w:bCs/>
          <w:sz w:val="24"/>
          <w:szCs w:val="24"/>
          <w:lang w:val="es-ES"/>
        </w:rPr>
      </w:pPr>
      <w:r w:rsidRPr="00B55157">
        <w:rPr>
          <w:rFonts w:ascii="Times New Roman" w:hAnsi="Times New Roman" w:cs="Times New Roman"/>
          <w:bCs/>
          <w:sz w:val="24"/>
          <w:szCs w:val="24"/>
          <w:lang w:val="es-ES"/>
        </w:rPr>
        <w:t xml:space="preserve">“…le serán aplicables las reglas de procedimiento civil ordinario de forma supletoria y en tanto y en cuanto éstas sean compatibles con el procedimiento sumario establecido en dicha regla.” </w:t>
      </w:r>
      <w:proofErr w:type="spellStart"/>
      <w:r w:rsidRPr="00B55157">
        <w:rPr>
          <w:rFonts w:ascii="Times New Roman" w:hAnsi="Times New Roman" w:cs="Times New Roman"/>
          <w:bCs/>
          <w:sz w:val="24"/>
          <w:szCs w:val="24"/>
          <w:u w:val="single"/>
          <w:lang w:val="es-ES"/>
        </w:rPr>
        <w:t>Asoc</w:t>
      </w:r>
      <w:proofErr w:type="spellEnd"/>
      <w:r w:rsidRPr="00B55157">
        <w:rPr>
          <w:rFonts w:ascii="Times New Roman" w:hAnsi="Times New Roman" w:cs="Times New Roman"/>
          <w:bCs/>
          <w:sz w:val="24"/>
          <w:szCs w:val="24"/>
          <w:u w:val="single"/>
          <w:lang w:val="es-ES"/>
        </w:rPr>
        <w:t>. Res. Colinas Metro. v. S.L.G.</w:t>
      </w:r>
      <w:r w:rsidRPr="00B55157">
        <w:rPr>
          <w:rFonts w:ascii="Times New Roman" w:hAnsi="Times New Roman" w:cs="Times New Roman"/>
          <w:bCs/>
          <w:sz w:val="24"/>
          <w:szCs w:val="24"/>
          <w:lang w:val="es-ES"/>
        </w:rPr>
        <w:t xml:space="preserve">, </w:t>
      </w:r>
      <w:r w:rsidRPr="00B55157">
        <w:rPr>
          <w:rFonts w:ascii="Times New Roman" w:hAnsi="Times New Roman" w:cs="Times New Roman"/>
          <w:bCs/>
          <w:i/>
          <w:iCs/>
          <w:sz w:val="24"/>
          <w:szCs w:val="24"/>
          <w:lang w:val="es-ES"/>
        </w:rPr>
        <w:t xml:space="preserve">supra. </w:t>
      </w:r>
    </w:p>
    <w:p w14:paraId="3A33A91C" w14:textId="06550E8F" w:rsidR="00B55157" w:rsidRDefault="00EF0CD7" w:rsidP="00B55157">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¿Qué debe probar el demandante para prevalecer?</w:t>
      </w:r>
    </w:p>
    <w:p w14:paraId="081C485D" w14:textId="6EBEB87D" w:rsidR="00EF0CD7" w:rsidRDefault="00EF0CD7" w:rsidP="00EF0CD7">
      <w:pPr>
        <w:spacing w:line="360" w:lineRule="auto"/>
        <w:ind w:left="360"/>
        <w:jc w:val="both"/>
        <w:rPr>
          <w:rFonts w:ascii="Times New Roman" w:hAnsi="Times New Roman" w:cs="Times New Roman"/>
          <w:bCs/>
          <w:sz w:val="24"/>
          <w:szCs w:val="24"/>
          <w:lang w:val="es-ES"/>
        </w:rPr>
      </w:pPr>
      <w:r w:rsidRPr="00EF0CD7">
        <w:rPr>
          <w:rFonts w:ascii="Times New Roman" w:hAnsi="Times New Roman" w:cs="Times New Roman"/>
          <w:bCs/>
          <w:sz w:val="24"/>
          <w:szCs w:val="24"/>
          <w:lang w:val="es-ES"/>
        </w:rPr>
        <w:t>La parte demandante, como promovente del pleito, tiene el peso de la prueba y por ello le corresponde iniciar el proceso del juicio mediante el desfile de prueba.</w:t>
      </w:r>
      <w:r>
        <w:rPr>
          <w:rStyle w:val="FootnoteReference"/>
          <w:rFonts w:ascii="Times New Roman" w:hAnsi="Times New Roman" w:cs="Times New Roman"/>
          <w:bCs/>
          <w:sz w:val="24"/>
          <w:szCs w:val="24"/>
          <w:lang w:val="es-ES"/>
        </w:rPr>
        <w:footnoteReference w:id="3"/>
      </w:r>
      <w:r>
        <w:rPr>
          <w:rFonts w:ascii="Times New Roman" w:hAnsi="Times New Roman" w:cs="Times New Roman"/>
          <w:bCs/>
          <w:sz w:val="24"/>
          <w:szCs w:val="24"/>
          <w:lang w:val="es-ES"/>
        </w:rPr>
        <w:t xml:space="preserve"> </w:t>
      </w:r>
      <w:r w:rsidRPr="00EF0CD7">
        <w:rPr>
          <w:rFonts w:ascii="Times New Roman" w:hAnsi="Times New Roman" w:cs="Times New Roman"/>
          <w:bCs/>
          <w:sz w:val="24"/>
          <w:szCs w:val="24"/>
          <w:lang w:val="es-ES"/>
        </w:rPr>
        <w:t xml:space="preserve">La obligación de presentar evidencia recae principalmente sobre la parte que sostiene la afirmativa en la cuestión en controversia. Meras alegaciones o teorías no constituyen prueba. </w:t>
      </w:r>
      <w:r w:rsidRPr="00EF0CD7">
        <w:rPr>
          <w:rFonts w:ascii="Times New Roman" w:hAnsi="Times New Roman" w:cs="Times New Roman"/>
          <w:bCs/>
          <w:sz w:val="24"/>
          <w:szCs w:val="24"/>
          <w:u w:val="single"/>
          <w:lang w:val="es-ES"/>
        </w:rPr>
        <w:t xml:space="preserve">Pereira Suárez v. </w:t>
      </w:r>
      <w:proofErr w:type="spellStart"/>
      <w:r w:rsidRPr="00EF0CD7">
        <w:rPr>
          <w:rFonts w:ascii="Times New Roman" w:hAnsi="Times New Roman" w:cs="Times New Roman"/>
          <w:bCs/>
          <w:sz w:val="24"/>
          <w:szCs w:val="24"/>
          <w:u w:val="single"/>
          <w:lang w:val="es-ES"/>
        </w:rPr>
        <w:t>Jta</w:t>
      </w:r>
      <w:proofErr w:type="spellEnd"/>
      <w:r w:rsidRPr="00EF0CD7">
        <w:rPr>
          <w:rFonts w:ascii="Times New Roman" w:hAnsi="Times New Roman" w:cs="Times New Roman"/>
          <w:bCs/>
          <w:sz w:val="24"/>
          <w:szCs w:val="24"/>
          <w:u w:val="single"/>
          <w:lang w:val="es-ES"/>
        </w:rPr>
        <w:t>. Dir. Cond.</w:t>
      </w:r>
      <w:r w:rsidRPr="00EF0CD7">
        <w:rPr>
          <w:rFonts w:ascii="Times New Roman" w:hAnsi="Times New Roman" w:cs="Times New Roman"/>
          <w:bCs/>
          <w:sz w:val="24"/>
          <w:szCs w:val="24"/>
          <w:lang w:val="es-ES"/>
        </w:rPr>
        <w:t>, 182 DPR 485 (2011).</w:t>
      </w:r>
    </w:p>
    <w:p w14:paraId="25B88142" w14:textId="1E31DAB5" w:rsidR="00EF0CD7" w:rsidRPr="00EF0CD7" w:rsidRDefault="00EF0CD7" w:rsidP="00EF0CD7">
      <w:pPr>
        <w:spacing w:line="360" w:lineRule="auto"/>
        <w:ind w:left="360"/>
        <w:jc w:val="both"/>
        <w:rPr>
          <w:rFonts w:ascii="Times New Roman" w:hAnsi="Times New Roman" w:cs="Times New Roman"/>
          <w:bCs/>
          <w:sz w:val="24"/>
          <w:szCs w:val="24"/>
          <w:lang w:val="es-ES"/>
        </w:rPr>
      </w:pPr>
      <w:r w:rsidRPr="00EF0CD7">
        <w:rPr>
          <w:rFonts w:ascii="Times New Roman" w:hAnsi="Times New Roman" w:cs="Times New Roman"/>
          <w:bCs/>
          <w:sz w:val="24"/>
          <w:szCs w:val="24"/>
          <w:lang w:val="es-ES"/>
        </w:rPr>
        <w:t xml:space="preserve">En el ámbito procesal, el hecho de que la deuda sea líquida y exigible en una demanda de cobro de dinero atendida conforme a la Regla 60 es un elemento que, además de la notificación-citación, debe ser superada por la parte promovente para que el tribunal pueda atender todas las cuestiones litigiosas y dictar sentencia inmediatamente. </w:t>
      </w:r>
      <w:r w:rsidRPr="00EF0CD7">
        <w:rPr>
          <w:rFonts w:ascii="Times New Roman" w:hAnsi="Times New Roman" w:cs="Times New Roman"/>
          <w:bCs/>
          <w:sz w:val="24"/>
          <w:szCs w:val="24"/>
          <w:u w:val="single"/>
          <w:lang w:val="es-ES"/>
        </w:rPr>
        <w:t xml:space="preserve">Rio Mar </w:t>
      </w:r>
      <w:proofErr w:type="spellStart"/>
      <w:r w:rsidRPr="00EF0CD7">
        <w:rPr>
          <w:rFonts w:ascii="Times New Roman" w:hAnsi="Times New Roman" w:cs="Times New Roman"/>
          <w:bCs/>
          <w:sz w:val="24"/>
          <w:szCs w:val="24"/>
          <w:u w:val="single"/>
          <w:lang w:val="es-ES"/>
        </w:rPr>
        <w:t>Community</w:t>
      </w:r>
      <w:proofErr w:type="spellEnd"/>
      <w:r w:rsidRPr="00EF0CD7">
        <w:rPr>
          <w:rFonts w:ascii="Times New Roman" w:hAnsi="Times New Roman" w:cs="Times New Roman"/>
          <w:bCs/>
          <w:sz w:val="24"/>
          <w:szCs w:val="24"/>
          <w:u w:val="single"/>
          <w:lang w:val="es-ES"/>
        </w:rPr>
        <w:t xml:space="preserve"> </w:t>
      </w:r>
      <w:proofErr w:type="spellStart"/>
      <w:r w:rsidRPr="00EF0CD7">
        <w:rPr>
          <w:rFonts w:ascii="Times New Roman" w:hAnsi="Times New Roman" w:cs="Times New Roman"/>
          <w:bCs/>
          <w:sz w:val="24"/>
          <w:szCs w:val="24"/>
          <w:u w:val="single"/>
          <w:lang w:val="es-ES"/>
        </w:rPr>
        <w:t>Association</w:t>
      </w:r>
      <w:proofErr w:type="spellEnd"/>
      <w:r w:rsidRPr="00EF0CD7">
        <w:rPr>
          <w:rFonts w:ascii="Times New Roman" w:hAnsi="Times New Roman" w:cs="Times New Roman"/>
          <w:bCs/>
          <w:sz w:val="24"/>
          <w:szCs w:val="24"/>
          <w:u w:val="single"/>
          <w:lang w:val="es-ES"/>
        </w:rPr>
        <w:t>, Inc. v. Mayol Bianchi</w:t>
      </w:r>
      <w:r w:rsidRPr="00EF0CD7">
        <w:rPr>
          <w:rFonts w:ascii="Times New Roman" w:hAnsi="Times New Roman" w:cs="Times New Roman"/>
          <w:bCs/>
          <w:sz w:val="24"/>
          <w:szCs w:val="24"/>
          <w:lang w:val="es-ES"/>
        </w:rPr>
        <w:t xml:space="preserve">, </w:t>
      </w:r>
      <w:r>
        <w:rPr>
          <w:rFonts w:ascii="Times New Roman" w:hAnsi="Times New Roman" w:cs="Times New Roman"/>
          <w:bCs/>
          <w:i/>
          <w:iCs/>
          <w:sz w:val="24"/>
          <w:szCs w:val="24"/>
          <w:lang w:val="es-ES"/>
        </w:rPr>
        <w:t>supra</w:t>
      </w:r>
      <w:r w:rsidRPr="00EF0CD7">
        <w:rPr>
          <w:rFonts w:ascii="Times New Roman" w:hAnsi="Times New Roman" w:cs="Times New Roman"/>
          <w:bCs/>
          <w:sz w:val="24"/>
          <w:szCs w:val="24"/>
          <w:lang w:val="es-ES"/>
        </w:rPr>
        <w:t xml:space="preserve">. La deuda es líquida por ser cierta y determinada y es exigible porque puede demandarse su cumplimiento. </w:t>
      </w:r>
      <w:r w:rsidRPr="00EF0CD7">
        <w:rPr>
          <w:rFonts w:ascii="Times New Roman" w:hAnsi="Times New Roman" w:cs="Times New Roman"/>
          <w:bCs/>
          <w:i/>
          <w:iCs/>
          <w:sz w:val="24"/>
          <w:szCs w:val="24"/>
          <w:lang w:val="es-ES"/>
        </w:rPr>
        <w:t>Ibíd</w:t>
      </w:r>
      <w:r w:rsidRPr="00EF0CD7">
        <w:rPr>
          <w:rFonts w:ascii="Times New Roman" w:hAnsi="Times New Roman" w:cs="Times New Roman"/>
          <w:bCs/>
          <w:sz w:val="24"/>
          <w:szCs w:val="24"/>
          <w:lang w:val="es-ES"/>
        </w:rPr>
        <w:t>.</w:t>
      </w:r>
    </w:p>
    <w:p w14:paraId="0A92BBE7" w14:textId="1B7E65AE" w:rsidR="00EF0CD7" w:rsidRDefault="00406893" w:rsidP="001A6570">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M</w:t>
      </w:r>
      <w:r w:rsidR="00EF0CD7">
        <w:rPr>
          <w:rFonts w:ascii="Times New Roman" w:hAnsi="Times New Roman" w:cs="Times New Roman"/>
          <w:bCs/>
          <w:sz w:val="24"/>
          <w:szCs w:val="24"/>
          <w:lang w:val="es-ES"/>
        </w:rPr>
        <w:t xml:space="preserve">ociones </w:t>
      </w:r>
      <w:r>
        <w:rPr>
          <w:rFonts w:ascii="Times New Roman" w:hAnsi="Times New Roman" w:cs="Times New Roman"/>
          <w:bCs/>
          <w:sz w:val="24"/>
          <w:szCs w:val="24"/>
          <w:lang w:val="es-ES"/>
        </w:rPr>
        <w:t xml:space="preserve">comunes </w:t>
      </w:r>
      <w:r w:rsidR="00EF0CD7">
        <w:rPr>
          <w:rFonts w:ascii="Times New Roman" w:hAnsi="Times New Roman" w:cs="Times New Roman"/>
          <w:bCs/>
          <w:sz w:val="24"/>
          <w:szCs w:val="24"/>
          <w:lang w:val="es-ES"/>
        </w:rPr>
        <w:t>que puede presentar el demandado antes de ir a juicio</w:t>
      </w:r>
    </w:p>
    <w:p w14:paraId="41F742F3" w14:textId="77777777" w:rsidR="001A6570" w:rsidRPr="001A6570" w:rsidRDefault="00EF0CD7" w:rsidP="001A6570">
      <w:pPr>
        <w:pStyle w:val="ListParagraph"/>
        <w:numPr>
          <w:ilvl w:val="1"/>
          <w:numId w:val="1"/>
        </w:numPr>
        <w:spacing w:line="360" w:lineRule="auto"/>
        <w:jc w:val="both"/>
        <w:rPr>
          <w:rFonts w:ascii="Times New Roman" w:hAnsi="Times New Roman" w:cs="Times New Roman"/>
          <w:bCs/>
          <w:sz w:val="24"/>
          <w:szCs w:val="24"/>
          <w:lang w:val="es-ES"/>
        </w:rPr>
      </w:pPr>
      <w:r w:rsidRPr="00EF0CD7">
        <w:rPr>
          <w:rFonts w:ascii="Times New Roman" w:hAnsi="Times New Roman" w:cs="Times New Roman"/>
          <w:bCs/>
          <w:sz w:val="24"/>
          <w:szCs w:val="24"/>
          <w:lang w:val="es-ES_tradnl"/>
        </w:rPr>
        <w:t xml:space="preserve">Suspensión y transferencia de vista (R8.5) </w:t>
      </w:r>
    </w:p>
    <w:p w14:paraId="0FE74A15" w14:textId="17BCD2FF" w:rsidR="00EF0CD7" w:rsidRPr="001A6570" w:rsidRDefault="00EF0CD7" w:rsidP="001A6570">
      <w:pPr>
        <w:spacing w:line="360" w:lineRule="auto"/>
        <w:ind w:left="720"/>
        <w:jc w:val="both"/>
        <w:rPr>
          <w:rFonts w:ascii="Times New Roman" w:hAnsi="Times New Roman" w:cs="Times New Roman"/>
          <w:bCs/>
          <w:sz w:val="24"/>
          <w:szCs w:val="24"/>
          <w:lang w:val="es-ES"/>
        </w:rPr>
      </w:pPr>
      <w:r w:rsidRPr="001A6570">
        <w:rPr>
          <w:rFonts w:ascii="Times New Roman" w:hAnsi="Times New Roman" w:cs="Times New Roman"/>
          <w:bCs/>
          <w:sz w:val="24"/>
          <w:szCs w:val="24"/>
          <w:lang w:val="es-ES"/>
        </w:rPr>
        <w:t xml:space="preserve">Nota: debe cancelar el sello de suspensión de vista o juicio y debe incluir 3 fechas disponibles previamente coordinadas con la parte contraria. </w:t>
      </w:r>
    </w:p>
    <w:p w14:paraId="73A77D60" w14:textId="34883C7E" w:rsidR="00EF0CD7" w:rsidRPr="00EF0CD7" w:rsidRDefault="00EF0CD7" w:rsidP="001A6570">
      <w:pPr>
        <w:pStyle w:val="ListParagraph"/>
        <w:numPr>
          <w:ilvl w:val="1"/>
          <w:numId w:val="1"/>
        </w:numPr>
        <w:spacing w:line="360" w:lineRule="auto"/>
        <w:rPr>
          <w:rFonts w:ascii="Times New Roman" w:hAnsi="Times New Roman" w:cs="Times New Roman"/>
          <w:bCs/>
          <w:sz w:val="24"/>
          <w:szCs w:val="24"/>
        </w:rPr>
      </w:pPr>
      <w:r w:rsidRPr="00EF0CD7">
        <w:rPr>
          <w:rFonts w:ascii="Times New Roman" w:hAnsi="Times New Roman" w:cs="Times New Roman"/>
          <w:bCs/>
          <w:sz w:val="24"/>
          <w:szCs w:val="24"/>
          <w:lang w:val="es-ES_tradnl"/>
        </w:rPr>
        <w:t xml:space="preserve">Exposición más definida (R10.4) </w:t>
      </w:r>
    </w:p>
    <w:p w14:paraId="06D2C2F4" w14:textId="2E607FED" w:rsidR="00406893" w:rsidRPr="00406893" w:rsidRDefault="00406893" w:rsidP="001A6570">
      <w:pPr>
        <w:spacing w:before="240" w:after="0" w:line="360" w:lineRule="auto"/>
        <w:ind w:left="720"/>
        <w:jc w:val="both"/>
        <w:rPr>
          <w:rFonts w:ascii="Times New Roman" w:eastAsia="Times New Roman" w:hAnsi="Times New Roman" w:cs="Times New Roman"/>
          <w:sz w:val="24"/>
          <w:szCs w:val="24"/>
          <w:lang w:val="es-ES"/>
        </w:rPr>
      </w:pPr>
      <w:r w:rsidRPr="00406893">
        <w:rPr>
          <w:rFonts w:ascii="Times New Roman" w:eastAsia="Times New Roman" w:hAnsi="Times New Roman" w:cs="Times New Roman"/>
          <w:sz w:val="24"/>
          <w:szCs w:val="24"/>
          <w:lang w:val="es-ES"/>
        </w:rPr>
        <w:t xml:space="preserve">Si una alegación contra la cual se permita una alegación responsiva es tan vaga o ambigua que no sería razonable exigirle a una parte que formule una alegación responsiva, dicha parte podrá solicitar una exposición más definida antes de presentar su alegación responsiva. </w:t>
      </w:r>
    </w:p>
    <w:p w14:paraId="7B81C016" w14:textId="4761762E" w:rsidR="00EF0CD7" w:rsidRPr="00EF0CD7" w:rsidRDefault="00EF0CD7" w:rsidP="001A6570">
      <w:pPr>
        <w:pStyle w:val="ListParagraph"/>
        <w:numPr>
          <w:ilvl w:val="1"/>
          <w:numId w:val="1"/>
        </w:numPr>
        <w:spacing w:line="360" w:lineRule="auto"/>
        <w:rPr>
          <w:rFonts w:ascii="Times New Roman" w:hAnsi="Times New Roman" w:cs="Times New Roman"/>
          <w:bCs/>
          <w:sz w:val="24"/>
          <w:szCs w:val="24"/>
          <w:lang w:val="es-ES"/>
        </w:rPr>
      </w:pPr>
      <w:r w:rsidRPr="00EF0CD7">
        <w:rPr>
          <w:rFonts w:ascii="Times New Roman" w:hAnsi="Times New Roman" w:cs="Times New Roman"/>
          <w:bCs/>
          <w:sz w:val="24"/>
          <w:szCs w:val="24"/>
          <w:lang w:val="es-ES_tradnl"/>
        </w:rPr>
        <w:t xml:space="preserve">Fianza de no residente (R69.5)   </w:t>
      </w:r>
    </w:p>
    <w:p w14:paraId="2498095A" w14:textId="77777777" w:rsidR="00EF0CD7" w:rsidRPr="00EF0CD7" w:rsidRDefault="00EF0CD7" w:rsidP="001A6570">
      <w:pPr>
        <w:spacing w:line="360" w:lineRule="auto"/>
        <w:ind w:left="720"/>
        <w:rPr>
          <w:rFonts w:ascii="Times New Roman" w:hAnsi="Times New Roman" w:cs="Times New Roman"/>
          <w:bCs/>
          <w:sz w:val="24"/>
          <w:szCs w:val="24"/>
          <w:lang w:val="es-ES"/>
        </w:rPr>
      </w:pPr>
      <w:r w:rsidRPr="00EF0CD7">
        <w:rPr>
          <w:rFonts w:ascii="Times New Roman" w:hAnsi="Times New Roman" w:cs="Times New Roman"/>
          <w:bCs/>
          <w:sz w:val="24"/>
          <w:szCs w:val="24"/>
          <w:lang w:val="es-ES"/>
        </w:rPr>
        <w:t xml:space="preserve">“…aquel demandante que resida fuera de Puerto Rico se le requerirá la prestación de una fianza para garantizar las costas, los gastos y honorarios de abogados en que pudiere ser condenado.” </w:t>
      </w:r>
      <w:r w:rsidRPr="00EF0CD7">
        <w:rPr>
          <w:rFonts w:ascii="Times New Roman" w:hAnsi="Times New Roman" w:cs="Times New Roman"/>
          <w:bCs/>
          <w:sz w:val="24"/>
          <w:szCs w:val="24"/>
          <w:u w:val="single"/>
          <w:lang w:val="es-ES"/>
        </w:rPr>
        <w:t>Vaillant v. Santander</w:t>
      </w:r>
      <w:r w:rsidRPr="00EF0CD7">
        <w:rPr>
          <w:rFonts w:ascii="Times New Roman" w:hAnsi="Times New Roman" w:cs="Times New Roman"/>
          <w:bCs/>
          <w:sz w:val="24"/>
          <w:szCs w:val="24"/>
          <w:lang w:val="es-ES"/>
        </w:rPr>
        <w:t xml:space="preserve">, 147 DPR 338 (1998). </w:t>
      </w:r>
    </w:p>
    <w:p w14:paraId="77AB7CD0" w14:textId="3700766D" w:rsidR="00EF0CD7" w:rsidRDefault="00EF0CD7" w:rsidP="001A6570">
      <w:pPr>
        <w:spacing w:line="360" w:lineRule="auto"/>
        <w:ind w:left="720"/>
        <w:rPr>
          <w:rFonts w:ascii="Times New Roman" w:hAnsi="Times New Roman" w:cs="Times New Roman"/>
          <w:bCs/>
          <w:sz w:val="24"/>
          <w:szCs w:val="24"/>
          <w:lang w:val="es-ES"/>
        </w:rPr>
      </w:pPr>
      <w:r w:rsidRPr="00EF0CD7">
        <w:rPr>
          <w:rFonts w:ascii="Times New Roman" w:hAnsi="Times New Roman" w:cs="Times New Roman"/>
          <w:bCs/>
          <w:sz w:val="24"/>
          <w:szCs w:val="24"/>
          <w:lang w:val="es-ES"/>
        </w:rPr>
        <w:t>La fianza que fija la Regla 69.5 es de carácter mandatorio. Por consiguiente, el pleito se suspenderá hasta que el demandante preste la fianza, que no podrá ser menor de $1,000.00.</w:t>
      </w:r>
      <w:r w:rsidR="00406893">
        <w:rPr>
          <w:rStyle w:val="FootnoteReference"/>
          <w:rFonts w:ascii="Times New Roman" w:hAnsi="Times New Roman" w:cs="Times New Roman"/>
          <w:bCs/>
          <w:sz w:val="24"/>
          <w:szCs w:val="24"/>
          <w:lang w:val="es-ES"/>
        </w:rPr>
        <w:footnoteReference w:id="4"/>
      </w:r>
      <w:r w:rsidRPr="00EF0CD7">
        <w:rPr>
          <w:rFonts w:ascii="Times New Roman" w:hAnsi="Times New Roman" w:cs="Times New Roman"/>
          <w:bCs/>
          <w:sz w:val="24"/>
          <w:szCs w:val="24"/>
          <w:lang w:val="es-ES"/>
        </w:rPr>
        <w:t xml:space="preserve"> </w:t>
      </w:r>
    </w:p>
    <w:p w14:paraId="27CC159B" w14:textId="77777777" w:rsidR="00096A51" w:rsidRPr="00EF0CD7" w:rsidRDefault="00096A51" w:rsidP="001A6570">
      <w:pPr>
        <w:spacing w:line="360" w:lineRule="auto"/>
        <w:ind w:left="720"/>
        <w:rPr>
          <w:rFonts w:ascii="Times New Roman" w:hAnsi="Times New Roman" w:cs="Times New Roman"/>
          <w:bCs/>
          <w:sz w:val="24"/>
          <w:szCs w:val="24"/>
          <w:lang w:val="es-ES"/>
        </w:rPr>
      </w:pPr>
    </w:p>
    <w:p w14:paraId="7744078B" w14:textId="77777777" w:rsidR="001A6570" w:rsidRPr="001A6570" w:rsidRDefault="00EF0CD7" w:rsidP="001A6570">
      <w:pPr>
        <w:pStyle w:val="ListParagraph"/>
        <w:numPr>
          <w:ilvl w:val="1"/>
          <w:numId w:val="1"/>
        </w:numPr>
        <w:spacing w:line="360" w:lineRule="auto"/>
        <w:rPr>
          <w:rFonts w:ascii="Times New Roman" w:hAnsi="Times New Roman" w:cs="Times New Roman"/>
          <w:bCs/>
          <w:sz w:val="24"/>
          <w:szCs w:val="24"/>
        </w:rPr>
      </w:pPr>
      <w:r w:rsidRPr="00EF0CD7">
        <w:rPr>
          <w:rFonts w:ascii="Times New Roman" w:hAnsi="Times New Roman" w:cs="Times New Roman"/>
          <w:bCs/>
          <w:sz w:val="24"/>
          <w:szCs w:val="24"/>
          <w:lang w:val="es-ES_tradnl"/>
        </w:rPr>
        <w:t xml:space="preserve">Desestimación (R10.2) </w:t>
      </w:r>
    </w:p>
    <w:p w14:paraId="50193B06" w14:textId="15C30FDB" w:rsidR="00EF0CD7" w:rsidRPr="00096A51" w:rsidRDefault="00406893" w:rsidP="00096A51">
      <w:pPr>
        <w:spacing w:line="360" w:lineRule="auto"/>
        <w:ind w:left="720"/>
        <w:jc w:val="both"/>
        <w:rPr>
          <w:rFonts w:ascii="Times New Roman" w:hAnsi="Times New Roman" w:cs="Times New Roman"/>
          <w:bCs/>
          <w:sz w:val="24"/>
          <w:szCs w:val="24"/>
        </w:rPr>
      </w:pPr>
      <w:r w:rsidRPr="00096A51">
        <w:rPr>
          <w:rFonts w:ascii="Times New Roman" w:hAnsi="Times New Roman" w:cs="Times New Roman"/>
          <w:bCs/>
          <w:sz w:val="24"/>
          <w:szCs w:val="24"/>
          <w:lang w:val="es-ES"/>
        </w:rPr>
        <w:t xml:space="preserve">La Regla 10.2 de Procedimiento Civil de 2009 (32 LPRA Ap. V) dispone que la parte demanda puede presentar una moción de desestimación en la que alegue las defensas siguientes: (1) falta de jurisdicción sobre la materia; (2) falta de jurisdicción sobre la persona; (3) insuficiencia del emplazamiento; (4) insuficiencia del diligenciamiento del emplazamiento; (5) dejar de exponer una reclamación que justifique la concesión remedio, y (6) dejar de acumular una parte indispensable. </w:t>
      </w:r>
      <w:r w:rsidRPr="00096A51">
        <w:rPr>
          <w:rFonts w:ascii="Times New Roman" w:hAnsi="Times New Roman" w:cs="Times New Roman"/>
          <w:bCs/>
          <w:sz w:val="24"/>
          <w:szCs w:val="24"/>
          <w:u w:val="single"/>
        </w:rPr>
        <w:t xml:space="preserve">González Méndez v. </w:t>
      </w:r>
      <w:proofErr w:type="spellStart"/>
      <w:r w:rsidRPr="00096A51">
        <w:rPr>
          <w:rFonts w:ascii="Times New Roman" w:hAnsi="Times New Roman" w:cs="Times New Roman"/>
          <w:bCs/>
          <w:sz w:val="24"/>
          <w:szCs w:val="24"/>
          <w:u w:val="single"/>
        </w:rPr>
        <w:t>Acción</w:t>
      </w:r>
      <w:proofErr w:type="spellEnd"/>
      <w:r w:rsidRPr="00096A51">
        <w:rPr>
          <w:rFonts w:ascii="Times New Roman" w:hAnsi="Times New Roman" w:cs="Times New Roman"/>
          <w:bCs/>
          <w:sz w:val="24"/>
          <w:szCs w:val="24"/>
          <w:u w:val="single"/>
        </w:rPr>
        <w:t xml:space="preserve"> Social et al.</w:t>
      </w:r>
      <w:r w:rsidRPr="00096A51">
        <w:rPr>
          <w:rFonts w:ascii="Times New Roman" w:hAnsi="Times New Roman" w:cs="Times New Roman"/>
          <w:bCs/>
          <w:sz w:val="24"/>
          <w:szCs w:val="24"/>
        </w:rPr>
        <w:t>, 2016 TSPR 180.</w:t>
      </w:r>
    </w:p>
    <w:p w14:paraId="5D553E04" w14:textId="1E7C5F14" w:rsidR="00EF0CD7" w:rsidRPr="00406893" w:rsidRDefault="00EF0CD7" w:rsidP="00EF0CD7">
      <w:pPr>
        <w:pStyle w:val="ListParagraph"/>
        <w:numPr>
          <w:ilvl w:val="1"/>
          <w:numId w:val="1"/>
        </w:numPr>
        <w:spacing w:line="360" w:lineRule="auto"/>
        <w:rPr>
          <w:rFonts w:ascii="Times New Roman" w:hAnsi="Times New Roman" w:cs="Times New Roman"/>
          <w:bCs/>
          <w:sz w:val="24"/>
          <w:szCs w:val="24"/>
          <w:lang w:val="es-ES"/>
        </w:rPr>
      </w:pPr>
      <w:r w:rsidRPr="00EF0CD7">
        <w:rPr>
          <w:rFonts w:ascii="Times New Roman" w:hAnsi="Times New Roman" w:cs="Times New Roman"/>
          <w:bCs/>
          <w:sz w:val="24"/>
          <w:szCs w:val="24"/>
          <w:lang w:val="es-ES_tradnl"/>
        </w:rPr>
        <w:t>Para que se dicte sentencia por las alegaciones (R10.3)</w:t>
      </w:r>
    </w:p>
    <w:p w14:paraId="4F7D5DC9" w14:textId="77777777" w:rsidR="00406893" w:rsidRPr="00406893" w:rsidRDefault="00406893" w:rsidP="00096A51">
      <w:pPr>
        <w:spacing w:line="360" w:lineRule="auto"/>
        <w:ind w:left="720"/>
        <w:jc w:val="both"/>
        <w:rPr>
          <w:rFonts w:ascii="Times New Roman" w:hAnsi="Times New Roman" w:cs="Times New Roman"/>
          <w:bCs/>
          <w:sz w:val="24"/>
          <w:szCs w:val="24"/>
        </w:rPr>
      </w:pPr>
      <w:r w:rsidRPr="00406893">
        <w:rPr>
          <w:rFonts w:ascii="Times New Roman" w:hAnsi="Times New Roman" w:cs="Times New Roman"/>
          <w:bCs/>
          <w:sz w:val="24"/>
          <w:szCs w:val="24"/>
          <w:lang w:val="es-ES"/>
        </w:rPr>
        <w:t xml:space="preserve">Procede dictar sentencia por las alegaciones cuando de éstas surge que no existe controversia sustancial de hechos, haciendo innecesario la celebración de un juicio en su fondo para recibir o dilucidar la prueba. </w:t>
      </w:r>
      <w:r w:rsidRPr="00406893">
        <w:rPr>
          <w:rFonts w:ascii="Times New Roman" w:hAnsi="Times New Roman" w:cs="Times New Roman"/>
          <w:bCs/>
          <w:sz w:val="24"/>
          <w:szCs w:val="24"/>
          <w:u w:val="single"/>
          <w:lang w:val="es-ES"/>
        </w:rPr>
        <w:t xml:space="preserve">Montañez v. </w:t>
      </w:r>
      <w:proofErr w:type="spellStart"/>
      <w:r w:rsidRPr="00406893">
        <w:rPr>
          <w:rFonts w:ascii="Times New Roman" w:hAnsi="Times New Roman" w:cs="Times New Roman"/>
          <w:bCs/>
          <w:sz w:val="24"/>
          <w:szCs w:val="24"/>
          <w:u w:val="single"/>
          <w:lang w:val="es-ES"/>
        </w:rPr>
        <w:t>Hosp</w:t>
      </w:r>
      <w:proofErr w:type="spellEnd"/>
      <w:r w:rsidRPr="00406893">
        <w:rPr>
          <w:rFonts w:ascii="Times New Roman" w:hAnsi="Times New Roman" w:cs="Times New Roman"/>
          <w:bCs/>
          <w:sz w:val="24"/>
          <w:szCs w:val="24"/>
          <w:u w:val="single"/>
          <w:lang w:val="es-ES"/>
        </w:rPr>
        <w:t>. Metropolitano</w:t>
      </w:r>
      <w:r w:rsidRPr="00406893">
        <w:rPr>
          <w:rFonts w:ascii="Times New Roman" w:hAnsi="Times New Roman" w:cs="Times New Roman"/>
          <w:bCs/>
          <w:sz w:val="24"/>
          <w:szCs w:val="24"/>
          <w:lang w:val="es-ES"/>
        </w:rPr>
        <w:t xml:space="preserve">, 157 DPR 96 (2002). </w:t>
      </w:r>
    </w:p>
    <w:p w14:paraId="245853CA" w14:textId="1ADE6BF6" w:rsidR="00EF0CD7" w:rsidRDefault="00406893" w:rsidP="00406893">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Defensas adicionales </w:t>
      </w:r>
    </w:p>
    <w:p w14:paraId="091B5917" w14:textId="77777777" w:rsidR="00406893" w:rsidRPr="00406893" w:rsidRDefault="00406893" w:rsidP="00406893">
      <w:pPr>
        <w:pStyle w:val="ListParagraph"/>
        <w:numPr>
          <w:ilvl w:val="1"/>
          <w:numId w:val="1"/>
        </w:numPr>
        <w:spacing w:line="360" w:lineRule="auto"/>
        <w:jc w:val="both"/>
        <w:rPr>
          <w:rFonts w:ascii="Times New Roman" w:hAnsi="Times New Roman" w:cs="Times New Roman"/>
          <w:bCs/>
          <w:sz w:val="24"/>
          <w:szCs w:val="24"/>
          <w:lang w:val="es-ES"/>
        </w:rPr>
      </w:pPr>
      <w:r w:rsidRPr="00406893">
        <w:rPr>
          <w:rFonts w:ascii="Times New Roman" w:hAnsi="Times New Roman" w:cs="Times New Roman"/>
          <w:bCs/>
          <w:sz w:val="24"/>
          <w:szCs w:val="24"/>
          <w:lang w:val="es-ES_tradnl"/>
        </w:rPr>
        <w:t xml:space="preserve">Prescripción: </w:t>
      </w:r>
      <w:r w:rsidRPr="00406893">
        <w:rPr>
          <w:rFonts w:ascii="Times New Roman" w:hAnsi="Times New Roman" w:cs="Times New Roman"/>
          <w:bCs/>
          <w:sz w:val="24"/>
          <w:szCs w:val="24"/>
          <w:u w:val="single"/>
          <w:lang w:val="es-ES_tradnl"/>
        </w:rPr>
        <w:t xml:space="preserve">Xerox </w:t>
      </w:r>
      <w:proofErr w:type="spellStart"/>
      <w:r w:rsidRPr="00406893">
        <w:rPr>
          <w:rFonts w:ascii="Times New Roman" w:hAnsi="Times New Roman" w:cs="Times New Roman"/>
          <w:bCs/>
          <w:sz w:val="24"/>
          <w:szCs w:val="24"/>
          <w:u w:val="single"/>
          <w:lang w:val="es-ES_tradnl"/>
        </w:rPr>
        <w:t>Corporation</w:t>
      </w:r>
      <w:proofErr w:type="spellEnd"/>
      <w:r w:rsidRPr="00406893">
        <w:rPr>
          <w:rFonts w:ascii="Times New Roman" w:hAnsi="Times New Roman" w:cs="Times New Roman"/>
          <w:bCs/>
          <w:sz w:val="24"/>
          <w:szCs w:val="24"/>
          <w:u w:val="single"/>
          <w:lang w:val="es-ES_tradnl"/>
        </w:rPr>
        <w:t xml:space="preserve"> v. Gómez Rodríguez</w:t>
      </w:r>
      <w:r w:rsidRPr="00406893">
        <w:rPr>
          <w:rFonts w:ascii="Times New Roman" w:hAnsi="Times New Roman" w:cs="Times New Roman"/>
          <w:bCs/>
          <w:sz w:val="24"/>
          <w:szCs w:val="24"/>
          <w:lang w:val="es-ES_tradnl"/>
        </w:rPr>
        <w:t xml:space="preserve">, 2019 TSPR 40. </w:t>
      </w:r>
    </w:p>
    <w:p w14:paraId="79358C96" w14:textId="77777777" w:rsidR="00406893" w:rsidRPr="00406893" w:rsidRDefault="00406893" w:rsidP="00406893">
      <w:pPr>
        <w:pStyle w:val="ListParagraph"/>
        <w:numPr>
          <w:ilvl w:val="1"/>
          <w:numId w:val="1"/>
        </w:numPr>
        <w:spacing w:line="360" w:lineRule="auto"/>
        <w:jc w:val="both"/>
        <w:rPr>
          <w:rFonts w:ascii="Times New Roman" w:hAnsi="Times New Roman" w:cs="Times New Roman"/>
          <w:bCs/>
          <w:sz w:val="24"/>
          <w:szCs w:val="24"/>
          <w:lang w:val="es-ES"/>
        </w:rPr>
      </w:pPr>
      <w:r w:rsidRPr="00406893">
        <w:rPr>
          <w:rFonts w:ascii="Times New Roman" w:hAnsi="Times New Roman" w:cs="Times New Roman"/>
          <w:bCs/>
          <w:sz w:val="24"/>
          <w:szCs w:val="24"/>
          <w:lang w:val="es-ES_tradnl"/>
        </w:rPr>
        <w:t xml:space="preserve">Cosa juzgada: </w:t>
      </w:r>
      <w:proofErr w:type="spellStart"/>
      <w:r w:rsidRPr="00406893">
        <w:rPr>
          <w:rFonts w:ascii="Times New Roman" w:hAnsi="Times New Roman" w:cs="Times New Roman"/>
          <w:bCs/>
          <w:sz w:val="24"/>
          <w:szCs w:val="24"/>
          <w:u w:val="single"/>
          <w:lang w:val="es-ES_tradnl"/>
        </w:rPr>
        <w:t>Presidential</w:t>
      </w:r>
      <w:proofErr w:type="spellEnd"/>
      <w:r w:rsidRPr="00406893">
        <w:rPr>
          <w:rFonts w:ascii="Times New Roman" w:hAnsi="Times New Roman" w:cs="Times New Roman"/>
          <w:bCs/>
          <w:sz w:val="24"/>
          <w:szCs w:val="24"/>
          <w:u w:val="single"/>
          <w:lang w:val="es-ES_tradnl"/>
        </w:rPr>
        <w:t xml:space="preserve"> v. Transcaribe</w:t>
      </w:r>
      <w:r w:rsidRPr="00406893">
        <w:rPr>
          <w:rFonts w:ascii="Times New Roman" w:hAnsi="Times New Roman" w:cs="Times New Roman"/>
          <w:bCs/>
          <w:sz w:val="24"/>
          <w:szCs w:val="24"/>
          <w:lang w:val="es-ES_tradnl"/>
        </w:rPr>
        <w:t xml:space="preserve">, 2012 TSPR 122.  </w:t>
      </w:r>
    </w:p>
    <w:p w14:paraId="29C995A5" w14:textId="7CB12917" w:rsidR="00406893" w:rsidRPr="00406893" w:rsidRDefault="00406893" w:rsidP="00406893">
      <w:pPr>
        <w:pStyle w:val="ListParagraph"/>
        <w:numPr>
          <w:ilvl w:val="1"/>
          <w:numId w:val="1"/>
        </w:numPr>
        <w:spacing w:line="360" w:lineRule="auto"/>
        <w:jc w:val="both"/>
        <w:rPr>
          <w:rFonts w:ascii="Times New Roman" w:hAnsi="Times New Roman" w:cs="Times New Roman"/>
          <w:bCs/>
          <w:sz w:val="24"/>
          <w:szCs w:val="24"/>
        </w:rPr>
      </w:pPr>
      <w:r w:rsidRPr="00406893">
        <w:rPr>
          <w:rFonts w:ascii="Times New Roman" w:hAnsi="Times New Roman" w:cs="Times New Roman"/>
          <w:bCs/>
          <w:sz w:val="24"/>
          <w:szCs w:val="24"/>
          <w:lang w:val="es-ES_tradnl"/>
        </w:rPr>
        <w:t xml:space="preserve">Cláusula de arbitraje: </w:t>
      </w:r>
      <w:r w:rsidRPr="00406893">
        <w:rPr>
          <w:rFonts w:ascii="Times New Roman" w:hAnsi="Times New Roman" w:cs="Times New Roman"/>
          <w:bCs/>
          <w:sz w:val="24"/>
          <w:szCs w:val="24"/>
          <w:u w:val="single"/>
          <w:lang w:val="es-ES_tradnl"/>
        </w:rPr>
        <w:t xml:space="preserve">H.R., Inc. v. </w:t>
      </w:r>
      <w:proofErr w:type="spellStart"/>
      <w:r w:rsidRPr="00406893">
        <w:rPr>
          <w:rFonts w:ascii="Times New Roman" w:hAnsi="Times New Roman" w:cs="Times New Roman"/>
          <w:bCs/>
          <w:sz w:val="24"/>
          <w:szCs w:val="24"/>
          <w:u w:val="single"/>
          <w:lang w:val="es-ES_tradnl"/>
        </w:rPr>
        <w:t>Vissepó</w:t>
      </w:r>
      <w:proofErr w:type="spellEnd"/>
      <w:r w:rsidRPr="00406893">
        <w:rPr>
          <w:rFonts w:ascii="Times New Roman" w:hAnsi="Times New Roman" w:cs="Times New Roman"/>
          <w:bCs/>
          <w:sz w:val="24"/>
          <w:szCs w:val="24"/>
          <w:u w:val="single"/>
          <w:lang w:val="es-ES_tradnl"/>
        </w:rPr>
        <w:t xml:space="preserve"> Diez Const. Corp.</w:t>
      </w:r>
      <w:r w:rsidRPr="00406893">
        <w:rPr>
          <w:rFonts w:ascii="Times New Roman" w:hAnsi="Times New Roman" w:cs="Times New Roman"/>
          <w:bCs/>
          <w:sz w:val="24"/>
          <w:szCs w:val="24"/>
          <w:lang w:val="es-ES_tradnl"/>
        </w:rPr>
        <w:t>, 2014 TSPR 39</w:t>
      </w:r>
      <w:r w:rsidR="00096A51">
        <w:rPr>
          <w:rFonts w:ascii="Times New Roman" w:hAnsi="Times New Roman" w:cs="Times New Roman"/>
          <w:bCs/>
          <w:sz w:val="24"/>
          <w:szCs w:val="24"/>
          <w:lang w:val="es-ES_tradnl"/>
        </w:rPr>
        <w:t>;</w:t>
      </w:r>
      <w:r w:rsidRPr="00406893">
        <w:rPr>
          <w:rFonts w:ascii="Times New Roman" w:hAnsi="Times New Roman" w:cs="Times New Roman"/>
          <w:bCs/>
          <w:sz w:val="24"/>
          <w:szCs w:val="24"/>
          <w:lang w:val="es-ES_tradnl"/>
        </w:rPr>
        <w:t xml:space="preserve"> </w:t>
      </w:r>
    </w:p>
    <w:p w14:paraId="17C1DEDE" w14:textId="77777777" w:rsidR="00406893" w:rsidRDefault="00406893" w:rsidP="00406893">
      <w:pPr>
        <w:pStyle w:val="ListParagraph"/>
        <w:numPr>
          <w:ilvl w:val="2"/>
          <w:numId w:val="1"/>
        </w:numPr>
        <w:spacing w:line="360" w:lineRule="auto"/>
        <w:jc w:val="both"/>
        <w:rPr>
          <w:rFonts w:ascii="Times New Roman" w:hAnsi="Times New Roman" w:cs="Times New Roman"/>
          <w:bCs/>
          <w:sz w:val="24"/>
          <w:szCs w:val="24"/>
          <w:lang w:val="es-ES"/>
        </w:rPr>
      </w:pPr>
      <w:r w:rsidRPr="00406893">
        <w:rPr>
          <w:rFonts w:ascii="Times New Roman" w:hAnsi="Times New Roman" w:cs="Times New Roman"/>
          <w:bCs/>
          <w:sz w:val="24"/>
          <w:szCs w:val="24"/>
          <w:lang w:val="es-ES"/>
        </w:rPr>
        <w:t>Cuando las partes pactan el arbitraje y este derecho se reclama en la primera alegación responsiva, lo que procede es detener los procedimientos ante el tribunal y enviar el asunto a arbitraje.</w:t>
      </w:r>
    </w:p>
    <w:p w14:paraId="436729B0" w14:textId="58F3B05E" w:rsidR="00406893" w:rsidRPr="00406893" w:rsidRDefault="00406893" w:rsidP="00406893">
      <w:pPr>
        <w:pStyle w:val="ListParagraph"/>
        <w:numPr>
          <w:ilvl w:val="2"/>
          <w:numId w:val="1"/>
        </w:numPr>
        <w:spacing w:line="360" w:lineRule="auto"/>
        <w:jc w:val="both"/>
        <w:rPr>
          <w:rFonts w:ascii="Times New Roman" w:hAnsi="Times New Roman" w:cs="Times New Roman"/>
          <w:bCs/>
          <w:sz w:val="24"/>
          <w:szCs w:val="24"/>
          <w:lang w:val="es-ES"/>
        </w:rPr>
      </w:pPr>
      <w:r w:rsidRPr="00406893">
        <w:rPr>
          <w:rFonts w:ascii="Times New Roman" w:hAnsi="Times New Roman" w:cs="Times New Roman"/>
          <w:bCs/>
          <w:sz w:val="24"/>
          <w:szCs w:val="24"/>
          <w:lang w:val="es-ES"/>
        </w:rPr>
        <w:t>En ocasiones los tribunales deben dejar sin efecto la cláusula de arbitraje, a pesar de ser válida, porque la parte que reclama el derecho a arbitraje ha actuado inconsecuentemente con este reclamo.</w:t>
      </w:r>
    </w:p>
    <w:p w14:paraId="61E07BFB" w14:textId="076F7105" w:rsidR="00406893" w:rsidRDefault="00406893" w:rsidP="00406893">
      <w:pPr>
        <w:pStyle w:val="ListParagraph"/>
        <w:numPr>
          <w:ilvl w:val="0"/>
          <w:numId w:val="1"/>
        </w:numPr>
        <w:spacing w:line="36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En ocasiones la moción de sentencia sumaria estaría disponible para cualquiera de las dos partes. </w:t>
      </w:r>
    </w:p>
    <w:p w14:paraId="3D9FBF23" w14:textId="77777777" w:rsidR="00406893" w:rsidRPr="00406893" w:rsidRDefault="00406893" w:rsidP="00406893">
      <w:pPr>
        <w:pStyle w:val="ListParagraph"/>
        <w:numPr>
          <w:ilvl w:val="1"/>
          <w:numId w:val="1"/>
        </w:numPr>
        <w:spacing w:line="360" w:lineRule="auto"/>
        <w:jc w:val="both"/>
        <w:rPr>
          <w:rFonts w:ascii="Times New Roman" w:hAnsi="Times New Roman" w:cs="Times New Roman"/>
          <w:bCs/>
          <w:sz w:val="24"/>
          <w:szCs w:val="24"/>
          <w:lang w:val="es-ES"/>
        </w:rPr>
      </w:pPr>
      <w:r w:rsidRPr="00406893">
        <w:rPr>
          <w:rFonts w:ascii="Times New Roman" w:hAnsi="Times New Roman" w:cs="Times New Roman"/>
          <w:bCs/>
          <w:sz w:val="24"/>
          <w:szCs w:val="24"/>
          <w:lang w:val="es-ES"/>
        </w:rPr>
        <w:t xml:space="preserve">Se dictará sentencia sumaria cuando "las alegaciones, deposiciones, contestaciones a interrogatorios y admisiones ofrecidas, en unión a las declaraciones juradas, si las hay, u otra evidencia demuestran que no hay controversia real sustancial en cuanto a algún hecho esencial y pertinente [...]". Así pues, el criterio rector para dictar sentencia sumariamente es la ausencia de hechos esenciales en controversia. (Citas internas omitidas). </w:t>
      </w:r>
      <w:r w:rsidRPr="00406893">
        <w:rPr>
          <w:rFonts w:ascii="Times New Roman" w:hAnsi="Times New Roman" w:cs="Times New Roman"/>
          <w:bCs/>
          <w:sz w:val="24"/>
          <w:szCs w:val="24"/>
          <w:u w:val="single"/>
          <w:lang w:val="es-ES"/>
        </w:rPr>
        <w:t xml:space="preserve">Abigail Rosado Reyes v. Global </w:t>
      </w:r>
      <w:proofErr w:type="spellStart"/>
      <w:r w:rsidRPr="00406893">
        <w:rPr>
          <w:rFonts w:ascii="Times New Roman" w:hAnsi="Times New Roman" w:cs="Times New Roman"/>
          <w:bCs/>
          <w:sz w:val="24"/>
          <w:szCs w:val="24"/>
          <w:u w:val="single"/>
          <w:lang w:val="es-ES"/>
        </w:rPr>
        <w:t>Healthcare</w:t>
      </w:r>
      <w:proofErr w:type="spellEnd"/>
      <w:r w:rsidRPr="00406893">
        <w:rPr>
          <w:rFonts w:ascii="Times New Roman" w:hAnsi="Times New Roman" w:cs="Times New Roman"/>
          <w:bCs/>
          <w:sz w:val="24"/>
          <w:szCs w:val="24"/>
          <w:u w:val="single"/>
          <w:lang w:val="es-ES"/>
        </w:rPr>
        <w:t xml:space="preserve"> </w:t>
      </w:r>
      <w:proofErr w:type="spellStart"/>
      <w:r w:rsidRPr="00406893">
        <w:rPr>
          <w:rFonts w:ascii="Times New Roman" w:hAnsi="Times New Roman" w:cs="Times New Roman"/>
          <w:bCs/>
          <w:sz w:val="24"/>
          <w:szCs w:val="24"/>
          <w:u w:val="single"/>
          <w:lang w:val="es-ES"/>
        </w:rPr>
        <w:t>Group</w:t>
      </w:r>
      <w:proofErr w:type="spellEnd"/>
      <w:r w:rsidRPr="00406893">
        <w:rPr>
          <w:rFonts w:ascii="Times New Roman" w:hAnsi="Times New Roman" w:cs="Times New Roman"/>
          <w:bCs/>
          <w:sz w:val="24"/>
          <w:szCs w:val="24"/>
          <w:u w:val="single"/>
          <w:lang w:val="es-ES"/>
        </w:rPr>
        <w:t>, LLC</w:t>
      </w:r>
      <w:r w:rsidRPr="00406893">
        <w:rPr>
          <w:rFonts w:ascii="Times New Roman" w:hAnsi="Times New Roman" w:cs="Times New Roman"/>
          <w:bCs/>
          <w:sz w:val="24"/>
          <w:szCs w:val="24"/>
          <w:lang w:val="es-ES"/>
        </w:rPr>
        <w:t xml:space="preserve">, 2020 TSPR 136. </w:t>
      </w:r>
    </w:p>
    <w:p w14:paraId="594F8589" w14:textId="5C34D6F3" w:rsidR="00406893" w:rsidRDefault="00406893" w:rsidP="00406893">
      <w:pPr>
        <w:pStyle w:val="ListParagraph"/>
        <w:numPr>
          <w:ilvl w:val="1"/>
          <w:numId w:val="1"/>
        </w:numPr>
        <w:spacing w:line="360" w:lineRule="auto"/>
        <w:rPr>
          <w:rFonts w:ascii="Times New Roman" w:hAnsi="Times New Roman" w:cs="Times New Roman"/>
          <w:bCs/>
          <w:sz w:val="24"/>
          <w:szCs w:val="24"/>
          <w:lang w:val="es-ES"/>
        </w:rPr>
      </w:pPr>
      <w:r>
        <w:rPr>
          <w:rFonts w:ascii="Times New Roman" w:hAnsi="Times New Roman" w:cs="Times New Roman"/>
          <w:bCs/>
          <w:sz w:val="24"/>
          <w:szCs w:val="24"/>
          <w:lang w:val="es-ES"/>
        </w:rPr>
        <w:t>Deben recordar:</w:t>
      </w:r>
    </w:p>
    <w:p w14:paraId="72271BD1" w14:textId="33825829" w:rsidR="00406893" w:rsidRPr="00096A51" w:rsidRDefault="00406893" w:rsidP="00406893">
      <w:pPr>
        <w:pStyle w:val="ListParagraph"/>
        <w:numPr>
          <w:ilvl w:val="2"/>
          <w:numId w:val="1"/>
        </w:numPr>
        <w:spacing w:line="360" w:lineRule="auto"/>
        <w:jc w:val="both"/>
        <w:rPr>
          <w:rFonts w:ascii="Times New Roman" w:hAnsi="Times New Roman" w:cs="Times New Roman"/>
          <w:bCs/>
          <w:sz w:val="24"/>
          <w:szCs w:val="24"/>
          <w:lang w:val="es-ES"/>
        </w:rPr>
      </w:pPr>
      <w:r w:rsidRPr="00406893">
        <w:rPr>
          <w:rFonts w:ascii="Times New Roman" w:eastAsia="Calibri" w:hAnsi="Times New Roman" w:cs="Times New Roman"/>
          <w:sz w:val="24"/>
          <w:szCs w:val="24"/>
          <w:lang w:val="es-ES"/>
        </w:rPr>
        <w:t xml:space="preserve">Mecanismos procesales sumarios no son apropiados para resolver casos en donde hay </w:t>
      </w:r>
      <w:bookmarkStart w:id="1" w:name="_Hlk45622241"/>
      <w:r w:rsidRPr="00406893">
        <w:rPr>
          <w:rFonts w:ascii="Times New Roman" w:eastAsia="ヒラギノ角ゴ Pro W3" w:hAnsi="Times New Roman" w:cs="Times New Roman"/>
          <w:color w:val="000000"/>
          <w:sz w:val="24"/>
          <w:szCs w:val="24"/>
          <w:lang w:val="es-ES"/>
        </w:rPr>
        <w:t>elementos subjetivos de intención, propósitos mentales o negligencias o cuando el factor de credibilidad sea esencial</w:t>
      </w:r>
      <w:bookmarkEnd w:id="1"/>
      <w:r w:rsidRPr="00406893">
        <w:rPr>
          <w:rFonts w:ascii="Times New Roman" w:eastAsia="ヒラギノ角ゴ Pro W3" w:hAnsi="Times New Roman" w:cs="Times New Roman"/>
          <w:color w:val="000000"/>
          <w:sz w:val="24"/>
          <w:szCs w:val="24"/>
          <w:lang w:val="es-ES"/>
        </w:rPr>
        <w:t>.</w:t>
      </w:r>
      <w:r>
        <w:rPr>
          <w:rStyle w:val="FootnoteReference"/>
          <w:rFonts w:ascii="Times New Roman" w:eastAsia="ヒラギノ角ゴ Pro W3" w:hAnsi="Times New Roman" w:cs="Times New Roman"/>
          <w:color w:val="000000"/>
          <w:sz w:val="24"/>
          <w:szCs w:val="24"/>
        </w:rPr>
        <w:footnoteReference w:id="5"/>
      </w:r>
    </w:p>
    <w:p w14:paraId="2A7CD9AA" w14:textId="77777777" w:rsidR="00096A51" w:rsidRPr="00406893" w:rsidRDefault="00096A51" w:rsidP="00096A51">
      <w:pPr>
        <w:pStyle w:val="ListParagraph"/>
        <w:spacing w:line="360" w:lineRule="auto"/>
        <w:ind w:left="2160"/>
        <w:jc w:val="both"/>
        <w:rPr>
          <w:rFonts w:ascii="Times New Roman" w:hAnsi="Times New Roman" w:cs="Times New Roman"/>
          <w:bCs/>
          <w:sz w:val="24"/>
          <w:szCs w:val="24"/>
          <w:lang w:val="es-ES"/>
        </w:rPr>
      </w:pPr>
    </w:p>
    <w:p w14:paraId="415A927A" w14:textId="426F58A8" w:rsidR="00EF0CD7" w:rsidRDefault="00096A51" w:rsidP="00406893">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 xml:space="preserve">La solicitud de </w:t>
      </w:r>
      <w:r w:rsidR="00936C81">
        <w:rPr>
          <w:rFonts w:ascii="Times New Roman" w:hAnsi="Times New Roman" w:cs="Times New Roman"/>
          <w:bCs/>
          <w:sz w:val="24"/>
          <w:szCs w:val="24"/>
          <w:lang w:val="es-ES"/>
        </w:rPr>
        <w:t>desistimiento</w:t>
      </w:r>
    </w:p>
    <w:p w14:paraId="146936FE" w14:textId="1DD21B03" w:rsidR="00936C81" w:rsidRPr="00936C81" w:rsidRDefault="00936C81" w:rsidP="00936C81">
      <w:pPr>
        <w:pStyle w:val="ListParagraph"/>
        <w:numPr>
          <w:ilvl w:val="1"/>
          <w:numId w:val="1"/>
        </w:numPr>
        <w:spacing w:line="360" w:lineRule="auto"/>
        <w:jc w:val="both"/>
        <w:rPr>
          <w:rFonts w:ascii="Times New Roman" w:hAnsi="Times New Roman" w:cs="Times New Roman"/>
          <w:bCs/>
          <w:sz w:val="24"/>
          <w:szCs w:val="24"/>
          <w:lang w:val="es-ES"/>
        </w:rPr>
      </w:pPr>
      <w:r w:rsidRPr="00936C81">
        <w:rPr>
          <w:rFonts w:ascii="Times New Roman" w:hAnsi="Times New Roman" w:cs="Times New Roman"/>
          <w:bCs/>
          <w:sz w:val="24"/>
          <w:szCs w:val="24"/>
          <w:lang w:val="es-ES_tradnl"/>
        </w:rPr>
        <w:t>Véase Regla 39</w:t>
      </w:r>
      <w:r>
        <w:rPr>
          <w:rFonts w:ascii="Times New Roman" w:hAnsi="Times New Roman" w:cs="Times New Roman"/>
          <w:bCs/>
          <w:sz w:val="24"/>
          <w:szCs w:val="24"/>
          <w:lang w:val="es-ES_tradnl"/>
        </w:rPr>
        <w:t xml:space="preserve"> y</w:t>
      </w:r>
      <w:r w:rsidRPr="00936C81">
        <w:rPr>
          <w:rFonts w:ascii="Times New Roman" w:hAnsi="Times New Roman" w:cs="Times New Roman"/>
          <w:bCs/>
          <w:sz w:val="24"/>
          <w:szCs w:val="24"/>
          <w:lang w:val="es-ES_tradnl"/>
        </w:rPr>
        <w:t xml:space="preserve"> </w:t>
      </w:r>
      <w:r w:rsidRPr="00936C81">
        <w:rPr>
          <w:rFonts w:ascii="Times New Roman" w:hAnsi="Times New Roman" w:cs="Times New Roman"/>
          <w:bCs/>
          <w:sz w:val="24"/>
          <w:szCs w:val="24"/>
          <w:u w:val="single"/>
          <w:lang w:val="es-ES_tradnl"/>
        </w:rPr>
        <w:t>Tenorio v. Hospital Dr. Pila</w:t>
      </w:r>
      <w:r w:rsidRPr="00936C81">
        <w:rPr>
          <w:rFonts w:ascii="Times New Roman" w:hAnsi="Times New Roman" w:cs="Times New Roman"/>
          <w:bCs/>
          <w:sz w:val="24"/>
          <w:szCs w:val="24"/>
          <w:lang w:val="es-ES_tradnl"/>
        </w:rPr>
        <w:t>, 159 DPR 777 (2003).</w:t>
      </w:r>
    </w:p>
    <w:p w14:paraId="236F7CCD" w14:textId="6854F9CE" w:rsidR="00936C81" w:rsidRPr="00936C81" w:rsidRDefault="00936C81" w:rsidP="00936C81">
      <w:pPr>
        <w:pStyle w:val="ListParagraph"/>
        <w:numPr>
          <w:ilvl w:val="1"/>
          <w:numId w:val="1"/>
        </w:numPr>
        <w:spacing w:line="360" w:lineRule="auto"/>
        <w:jc w:val="both"/>
        <w:rPr>
          <w:rFonts w:ascii="Times New Roman" w:hAnsi="Times New Roman" w:cs="Times New Roman"/>
          <w:bCs/>
          <w:sz w:val="24"/>
          <w:szCs w:val="24"/>
          <w:lang w:val="es-ES"/>
        </w:rPr>
      </w:pPr>
      <w:r w:rsidRPr="00936C81">
        <w:rPr>
          <w:rFonts w:ascii="Times New Roman" w:hAnsi="Times New Roman" w:cs="Times New Roman"/>
          <w:bCs/>
          <w:sz w:val="24"/>
          <w:szCs w:val="24"/>
          <w:lang w:val="es-ES_tradnl"/>
        </w:rPr>
        <w:t xml:space="preserve">Un </w:t>
      </w:r>
      <w:r>
        <w:rPr>
          <w:rFonts w:ascii="Times New Roman" w:hAnsi="Times New Roman" w:cs="Times New Roman"/>
          <w:bCs/>
          <w:sz w:val="24"/>
          <w:szCs w:val="24"/>
          <w:u w:val="single"/>
          <w:lang w:val="es-ES_tradnl"/>
        </w:rPr>
        <w:t>a</w:t>
      </w:r>
      <w:r w:rsidRPr="00936C81">
        <w:rPr>
          <w:rFonts w:ascii="Times New Roman" w:hAnsi="Times New Roman" w:cs="Times New Roman"/>
          <w:bCs/>
          <w:sz w:val="24"/>
          <w:szCs w:val="24"/>
          <w:u w:val="single"/>
          <w:lang w:val="es-ES_tradnl"/>
        </w:rPr>
        <w:t>viso de desistimiento</w:t>
      </w:r>
      <w:r w:rsidRPr="00936C81">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puede presentarse </w:t>
      </w:r>
      <w:r w:rsidRPr="00936C81">
        <w:rPr>
          <w:rFonts w:ascii="Times New Roman" w:hAnsi="Times New Roman" w:cs="Times New Roman"/>
          <w:bCs/>
          <w:sz w:val="24"/>
          <w:szCs w:val="24"/>
          <w:lang w:val="es-ES_tradnl"/>
        </w:rPr>
        <w:t>antes de la contestación a demanda o de la presentación de la sentencia sumaria</w:t>
      </w:r>
      <w:r>
        <w:rPr>
          <w:rFonts w:ascii="Times New Roman" w:hAnsi="Times New Roman" w:cs="Times New Roman"/>
          <w:bCs/>
          <w:sz w:val="24"/>
          <w:szCs w:val="24"/>
          <w:lang w:val="es-ES_tradnl"/>
        </w:rPr>
        <w:t xml:space="preserve">, y será concedido por el Tribunal. </w:t>
      </w:r>
    </w:p>
    <w:p w14:paraId="071385BD" w14:textId="417D9813" w:rsidR="00936C81" w:rsidRPr="00936C81" w:rsidRDefault="00936C81" w:rsidP="00936C81">
      <w:pPr>
        <w:pStyle w:val="ListParagraph"/>
        <w:numPr>
          <w:ilvl w:val="1"/>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_tradnl"/>
        </w:rPr>
        <w:t xml:space="preserve">En etapas procesales próximas debería presentarse mediante una </w:t>
      </w:r>
      <w:r w:rsidRPr="00936C81">
        <w:rPr>
          <w:rFonts w:ascii="Times New Roman" w:hAnsi="Times New Roman" w:cs="Times New Roman"/>
          <w:bCs/>
          <w:sz w:val="24"/>
          <w:szCs w:val="24"/>
          <w:u w:val="single"/>
          <w:lang w:val="es-ES_tradnl"/>
        </w:rPr>
        <w:t>e</w:t>
      </w:r>
      <w:r w:rsidRPr="00936C81">
        <w:rPr>
          <w:rFonts w:ascii="Times New Roman" w:hAnsi="Times New Roman" w:cs="Times New Roman"/>
          <w:bCs/>
          <w:sz w:val="24"/>
          <w:szCs w:val="24"/>
          <w:u w:val="single"/>
          <w:lang w:val="es-ES_tradnl"/>
        </w:rPr>
        <w:t>stipulación de desistimiento</w:t>
      </w:r>
      <w:r>
        <w:rPr>
          <w:rFonts w:ascii="Times New Roman" w:hAnsi="Times New Roman" w:cs="Times New Roman"/>
          <w:bCs/>
          <w:sz w:val="24"/>
          <w:szCs w:val="24"/>
          <w:lang w:val="es-ES_tradnl"/>
        </w:rPr>
        <w:t>.</w:t>
      </w:r>
    </w:p>
    <w:p w14:paraId="12FE5F28" w14:textId="77777777" w:rsidR="00936C81" w:rsidRPr="00936C81" w:rsidRDefault="00936C81" w:rsidP="00936C81">
      <w:pPr>
        <w:pStyle w:val="ListParagraph"/>
        <w:numPr>
          <w:ilvl w:val="1"/>
          <w:numId w:val="1"/>
        </w:numPr>
        <w:spacing w:line="360" w:lineRule="auto"/>
        <w:jc w:val="both"/>
        <w:rPr>
          <w:rFonts w:ascii="Times New Roman" w:hAnsi="Times New Roman" w:cs="Times New Roman"/>
          <w:bCs/>
          <w:sz w:val="24"/>
          <w:szCs w:val="24"/>
          <w:lang w:val="es-ES"/>
        </w:rPr>
      </w:pPr>
      <w:r w:rsidRPr="00936C81">
        <w:rPr>
          <w:rFonts w:ascii="Times New Roman" w:hAnsi="Times New Roman" w:cs="Times New Roman"/>
          <w:bCs/>
          <w:sz w:val="24"/>
          <w:szCs w:val="24"/>
          <w:lang w:val="es-ES_tradnl"/>
        </w:rPr>
        <w:t xml:space="preserve">A falta de una estipulación el Tribunal deberá resolver “el desistimiento” y proveer </w:t>
      </w:r>
      <w:r w:rsidRPr="00936C81">
        <w:rPr>
          <w:rFonts w:ascii="Times New Roman" w:hAnsi="Times New Roman" w:cs="Times New Roman"/>
          <w:bCs/>
          <w:sz w:val="24"/>
          <w:szCs w:val="24"/>
          <w:lang w:val="es-ES"/>
        </w:rPr>
        <w:t>bajo los términos y condiciones que estime procedentes.</w:t>
      </w:r>
    </w:p>
    <w:p w14:paraId="43953D8D" w14:textId="77777777" w:rsidR="00936C81" w:rsidRPr="00936C81" w:rsidRDefault="00936C81" w:rsidP="00936C81">
      <w:pPr>
        <w:pStyle w:val="ListParagraph"/>
        <w:numPr>
          <w:ilvl w:val="1"/>
          <w:numId w:val="1"/>
        </w:numPr>
        <w:spacing w:line="360" w:lineRule="auto"/>
        <w:jc w:val="both"/>
        <w:rPr>
          <w:rFonts w:ascii="Times New Roman" w:hAnsi="Times New Roman" w:cs="Times New Roman"/>
          <w:bCs/>
          <w:sz w:val="24"/>
          <w:szCs w:val="24"/>
          <w:lang w:val="es-ES"/>
        </w:rPr>
      </w:pPr>
      <w:r w:rsidRPr="00936C81">
        <w:rPr>
          <w:rFonts w:ascii="Times New Roman" w:hAnsi="Times New Roman" w:cs="Times New Roman"/>
          <w:bCs/>
          <w:sz w:val="24"/>
          <w:szCs w:val="24"/>
          <w:lang w:val="es-ES"/>
        </w:rPr>
        <w:t xml:space="preserve">Dos desistimientos mediante </w:t>
      </w:r>
      <w:r w:rsidRPr="00936C81">
        <w:rPr>
          <w:rFonts w:ascii="Times New Roman" w:hAnsi="Times New Roman" w:cs="Times New Roman"/>
          <w:b/>
          <w:bCs/>
          <w:sz w:val="24"/>
          <w:szCs w:val="24"/>
          <w:u w:val="single"/>
          <w:lang w:val="es-ES"/>
        </w:rPr>
        <w:t>aviso</w:t>
      </w:r>
      <w:r w:rsidRPr="00936C81">
        <w:rPr>
          <w:rFonts w:ascii="Times New Roman" w:hAnsi="Times New Roman" w:cs="Times New Roman"/>
          <w:bCs/>
          <w:sz w:val="24"/>
          <w:szCs w:val="24"/>
          <w:lang w:val="es-ES"/>
        </w:rPr>
        <w:t xml:space="preserve"> activan la doctrina de los dos desistimientos. </w:t>
      </w:r>
    </w:p>
    <w:p w14:paraId="6A88A566" w14:textId="0498F01D" w:rsidR="00936C81" w:rsidRDefault="00517DB4" w:rsidP="00936C81">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Existen 3 consideraciones adicionales antes de ver el juicio (desde el punto de vista del demandado); </w:t>
      </w:r>
    </w:p>
    <w:p w14:paraId="7A40417A" w14:textId="437C1052" w:rsidR="00517DB4" w:rsidRDefault="00517DB4" w:rsidP="00517DB4">
      <w:pPr>
        <w:pStyle w:val="ListParagraph"/>
        <w:numPr>
          <w:ilvl w:val="1"/>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La presentación de una quiebra;</w:t>
      </w:r>
    </w:p>
    <w:p w14:paraId="015685FB" w14:textId="1FD1CE61" w:rsidR="00517DB4" w:rsidRPr="00517DB4" w:rsidRDefault="00517DB4" w:rsidP="00517DB4">
      <w:pPr>
        <w:pStyle w:val="ListParagraph"/>
        <w:numPr>
          <w:ilvl w:val="1"/>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_tradnl"/>
        </w:rPr>
        <w:t xml:space="preserve">La </w:t>
      </w:r>
      <w:r w:rsidRPr="00517DB4">
        <w:rPr>
          <w:rFonts w:ascii="Times New Roman" w:hAnsi="Times New Roman" w:cs="Times New Roman"/>
          <w:bCs/>
          <w:sz w:val="24"/>
          <w:szCs w:val="24"/>
          <w:lang w:val="es-ES_tradnl"/>
        </w:rPr>
        <w:t>posibilidad de negociar</w:t>
      </w:r>
      <w:r>
        <w:rPr>
          <w:rFonts w:ascii="Times New Roman" w:hAnsi="Times New Roman" w:cs="Times New Roman"/>
          <w:bCs/>
          <w:sz w:val="24"/>
          <w:szCs w:val="24"/>
          <w:lang w:val="es-ES_tradnl"/>
        </w:rPr>
        <w:t xml:space="preserve"> el pago total de la deuda o entrar en un plan de pago; </w:t>
      </w:r>
      <w:r w:rsidRPr="00517DB4">
        <w:rPr>
          <w:rFonts w:ascii="Times New Roman" w:hAnsi="Times New Roman" w:cs="Times New Roman"/>
          <w:bCs/>
          <w:sz w:val="24"/>
          <w:szCs w:val="24"/>
          <w:lang w:val="es-ES_tradnl"/>
        </w:rPr>
        <w:t xml:space="preserve"> </w:t>
      </w:r>
    </w:p>
    <w:p w14:paraId="1AC33536" w14:textId="78A0F368" w:rsidR="00517DB4" w:rsidRPr="00517DB4" w:rsidRDefault="00096A51" w:rsidP="00517DB4">
      <w:pPr>
        <w:pStyle w:val="ListParagraph"/>
        <w:numPr>
          <w:ilvl w:val="1"/>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_tradnl"/>
        </w:rPr>
        <w:t xml:space="preserve">Un </w:t>
      </w:r>
      <w:r w:rsidR="00517DB4" w:rsidRPr="00517DB4">
        <w:rPr>
          <w:rFonts w:ascii="Times New Roman" w:hAnsi="Times New Roman" w:cs="Times New Roman"/>
          <w:bCs/>
          <w:sz w:val="24"/>
          <w:szCs w:val="24"/>
          <w:lang w:val="es-ES_tradnl"/>
        </w:rPr>
        <w:t>“</w:t>
      </w:r>
      <w:proofErr w:type="spellStart"/>
      <w:r w:rsidR="00517DB4" w:rsidRPr="00517DB4">
        <w:rPr>
          <w:rFonts w:ascii="Times New Roman" w:hAnsi="Times New Roman" w:cs="Times New Roman"/>
          <w:bCs/>
          <w:sz w:val="24"/>
          <w:szCs w:val="24"/>
          <w:lang w:val="es-ES_tradnl"/>
        </w:rPr>
        <w:t>Discharge</w:t>
      </w:r>
      <w:proofErr w:type="spellEnd"/>
      <w:r w:rsidR="00517DB4" w:rsidRPr="00517DB4">
        <w:rPr>
          <w:rFonts w:ascii="Times New Roman" w:hAnsi="Times New Roman" w:cs="Times New Roman"/>
          <w:bCs/>
          <w:sz w:val="24"/>
          <w:szCs w:val="24"/>
          <w:lang w:val="es-ES_tradnl"/>
        </w:rPr>
        <w:t>” por razón médica</w:t>
      </w:r>
    </w:p>
    <w:p w14:paraId="53D0D6D4" w14:textId="15E81523" w:rsidR="00517DB4" w:rsidRDefault="00F96444" w:rsidP="00517DB4">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Reglas aplicables en el juicio </w:t>
      </w:r>
    </w:p>
    <w:p w14:paraId="037F93A5" w14:textId="6C108CE3" w:rsidR="00F96444" w:rsidRDefault="00F96444" w:rsidP="00F96444">
      <w:pPr>
        <w:pStyle w:val="ListParagraph"/>
        <w:numPr>
          <w:ilvl w:val="1"/>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
        </w:rPr>
        <w:t xml:space="preserve">Aplican </w:t>
      </w:r>
      <w:r w:rsidRPr="00096A51">
        <w:rPr>
          <w:rFonts w:ascii="Times New Roman" w:hAnsi="Times New Roman" w:cs="Times New Roman"/>
          <w:b/>
          <w:sz w:val="24"/>
          <w:szCs w:val="24"/>
          <w:u w:val="single"/>
          <w:lang w:val="es-ES"/>
        </w:rPr>
        <w:t>todas</w:t>
      </w:r>
      <w:r w:rsidRPr="00F96444">
        <w:rPr>
          <w:rFonts w:ascii="Times New Roman" w:hAnsi="Times New Roman" w:cs="Times New Roman"/>
          <w:bCs/>
          <w:sz w:val="24"/>
          <w:szCs w:val="24"/>
          <w:lang w:val="es-ES"/>
        </w:rPr>
        <w:t xml:space="preserve"> las Reglas de Evidencia</w:t>
      </w:r>
      <w:r>
        <w:rPr>
          <w:rFonts w:ascii="Times New Roman" w:hAnsi="Times New Roman" w:cs="Times New Roman"/>
          <w:bCs/>
          <w:sz w:val="24"/>
          <w:szCs w:val="24"/>
          <w:lang w:val="es-ES"/>
        </w:rPr>
        <w:t>, siendo las más comunes;</w:t>
      </w:r>
    </w:p>
    <w:p w14:paraId="2A36EC31"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rPr>
      </w:pPr>
      <w:r w:rsidRPr="00F96444">
        <w:rPr>
          <w:rFonts w:ascii="Times New Roman" w:hAnsi="Times New Roman" w:cs="Times New Roman"/>
          <w:bCs/>
          <w:sz w:val="24"/>
          <w:szCs w:val="24"/>
          <w:lang w:val="es-ES_tradnl"/>
        </w:rPr>
        <w:t>Conocimiento judicial R201 y R202</w:t>
      </w:r>
    </w:p>
    <w:p w14:paraId="180FDA89"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_tradnl"/>
        </w:rPr>
        <w:t>Transacciones y ofertas para transigir R408</w:t>
      </w:r>
    </w:p>
    <w:p w14:paraId="333F7F3B"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rPr>
      </w:pPr>
      <w:r w:rsidRPr="00F96444">
        <w:rPr>
          <w:rFonts w:ascii="Times New Roman" w:hAnsi="Times New Roman" w:cs="Times New Roman"/>
          <w:bCs/>
          <w:sz w:val="24"/>
          <w:szCs w:val="24"/>
          <w:lang w:val="es-ES_tradnl"/>
        </w:rPr>
        <w:t>Privilegio Abogado / Cliente R503</w:t>
      </w:r>
    </w:p>
    <w:p w14:paraId="2600BC86"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rPr>
      </w:pPr>
      <w:r w:rsidRPr="00F96444">
        <w:rPr>
          <w:rFonts w:ascii="Times New Roman" w:hAnsi="Times New Roman" w:cs="Times New Roman"/>
          <w:bCs/>
          <w:sz w:val="24"/>
          <w:szCs w:val="24"/>
          <w:lang w:val="es-ES_tradnl"/>
        </w:rPr>
        <w:t>Conocimiento personal del testigo R602</w:t>
      </w:r>
    </w:p>
    <w:p w14:paraId="054D1C1A"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_tradnl"/>
        </w:rPr>
        <w:t>Orden y modo de interrogatorio R607</w:t>
      </w:r>
    </w:p>
    <w:p w14:paraId="7A3BC67E"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rPr>
      </w:pPr>
      <w:r w:rsidRPr="00F96444">
        <w:rPr>
          <w:rFonts w:ascii="Times New Roman" w:hAnsi="Times New Roman" w:cs="Times New Roman"/>
          <w:bCs/>
          <w:sz w:val="24"/>
          <w:szCs w:val="24"/>
          <w:lang w:val="es-ES_tradnl"/>
        </w:rPr>
        <w:t xml:space="preserve">Peritos Cap. 7 / </w:t>
      </w:r>
      <w:r w:rsidRPr="00F96444">
        <w:rPr>
          <w:rFonts w:ascii="Times New Roman" w:hAnsi="Times New Roman" w:cs="Times New Roman"/>
          <w:bCs/>
          <w:sz w:val="24"/>
          <w:szCs w:val="24"/>
          <w:u w:val="single"/>
          <w:lang w:val="es-ES_tradnl"/>
        </w:rPr>
        <w:t>San Lorenzo Trading v. Hernández</w:t>
      </w:r>
      <w:r w:rsidRPr="00F96444">
        <w:rPr>
          <w:rFonts w:ascii="Times New Roman" w:hAnsi="Times New Roman" w:cs="Times New Roman"/>
          <w:bCs/>
          <w:sz w:val="24"/>
          <w:szCs w:val="24"/>
          <w:lang w:val="es-ES_tradnl"/>
        </w:rPr>
        <w:t xml:space="preserve">, 114 DPR 704 (1983); “perito intermedio” </w:t>
      </w:r>
    </w:p>
    <w:p w14:paraId="623AC0B0"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_tradnl"/>
        </w:rPr>
        <w:t>Prueba de referencia Cap. 8 / Récord de negocio R805(f)</w:t>
      </w:r>
    </w:p>
    <w:p w14:paraId="02FF15F4" w14:textId="77777777"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_tradnl"/>
        </w:rPr>
        <w:t xml:space="preserve">Autenticación o identificación R901(b)(13) </w:t>
      </w:r>
    </w:p>
    <w:p w14:paraId="37C7BF94" w14:textId="08011430" w:rsidR="00F96444" w:rsidRPr="00F96444" w:rsidRDefault="00F96444" w:rsidP="00F96444">
      <w:pPr>
        <w:pStyle w:val="ListParagraph"/>
        <w:numPr>
          <w:ilvl w:val="2"/>
          <w:numId w:val="1"/>
        </w:numPr>
        <w:spacing w:line="360" w:lineRule="auto"/>
        <w:jc w:val="both"/>
        <w:rPr>
          <w:rFonts w:ascii="Times New Roman" w:hAnsi="Times New Roman" w:cs="Times New Roman"/>
          <w:bCs/>
          <w:sz w:val="24"/>
          <w:szCs w:val="24"/>
        </w:rPr>
      </w:pPr>
      <w:r w:rsidRPr="00F96444">
        <w:rPr>
          <w:rFonts w:ascii="Times New Roman" w:hAnsi="Times New Roman" w:cs="Times New Roman"/>
          <w:bCs/>
          <w:sz w:val="24"/>
          <w:szCs w:val="24"/>
          <w:lang w:val="es-ES_tradnl"/>
        </w:rPr>
        <w:t xml:space="preserve">Autenticación </w:t>
      </w:r>
      <w:r w:rsidRPr="00F96444">
        <w:rPr>
          <w:rFonts w:ascii="Times New Roman" w:hAnsi="Times New Roman" w:cs="Times New Roman"/>
          <w:bCs/>
          <w:i/>
          <w:iCs/>
          <w:sz w:val="24"/>
          <w:szCs w:val="24"/>
          <w:lang w:val="es-ES_tradnl"/>
        </w:rPr>
        <w:t>prima facie R902</w:t>
      </w:r>
    </w:p>
    <w:p w14:paraId="7A11CDC2" w14:textId="01596697" w:rsidR="00F96444" w:rsidRPr="00F96444" w:rsidRDefault="00F96444" w:rsidP="00F96444">
      <w:pPr>
        <w:pStyle w:val="ListParagraph"/>
        <w:numPr>
          <w:ilvl w:val="1"/>
          <w:numId w:val="1"/>
        </w:numPr>
        <w:spacing w:line="360" w:lineRule="auto"/>
        <w:jc w:val="both"/>
        <w:rPr>
          <w:rFonts w:ascii="Times New Roman" w:hAnsi="Times New Roman" w:cs="Times New Roman"/>
          <w:sz w:val="24"/>
          <w:szCs w:val="24"/>
          <w:lang w:val="es-ES"/>
        </w:rPr>
      </w:pPr>
      <w:r w:rsidRPr="00F96444">
        <w:rPr>
          <w:rFonts w:ascii="Times New Roman" w:hAnsi="Times New Roman" w:cs="Times New Roman"/>
          <w:sz w:val="24"/>
          <w:szCs w:val="24"/>
          <w:lang w:val="es-ES_tradnl"/>
        </w:rPr>
        <w:t>Los testigos se pondrán “bajo las Reglas”</w:t>
      </w:r>
      <w:r>
        <w:rPr>
          <w:rFonts w:ascii="Times New Roman" w:hAnsi="Times New Roman" w:cs="Times New Roman"/>
          <w:sz w:val="24"/>
          <w:szCs w:val="24"/>
          <w:lang w:val="es-ES_tradnl"/>
        </w:rPr>
        <w:t xml:space="preserve"> / con excepción de las partes</w:t>
      </w:r>
    </w:p>
    <w:p w14:paraId="5DC16926" w14:textId="231552EB" w:rsidR="00F96444" w:rsidRPr="00F96444" w:rsidRDefault="00F96444" w:rsidP="00F96444">
      <w:pPr>
        <w:pStyle w:val="ListParagraph"/>
        <w:numPr>
          <w:ilvl w:val="1"/>
          <w:numId w:val="1"/>
        </w:numPr>
        <w:spacing w:line="360" w:lineRule="auto"/>
        <w:jc w:val="both"/>
        <w:rPr>
          <w:rFonts w:ascii="Times New Roman" w:hAnsi="Times New Roman" w:cs="Times New Roman"/>
          <w:sz w:val="24"/>
          <w:szCs w:val="24"/>
          <w:lang w:val="es-ES"/>
        </w:rPr>
      </w:pPr>
      <w:r w:rsidRPr="00F96444">
        <w:rPr>
          <w:rFonts w:ascii="Times New Roman" w:hAnsi="Times New Roman" w:cs="Times New Roman"/>
          <w:sz w:val="24"/>
          <w:szCs w:val="24"/>
          <w:lang w:val="es-ES"/>
        </w:rPr>
        <w:t>El demandado puede estar o no presente en la vista</w:t>
      </w:r>
    </w:p>
    <w:p w14:paraId="767AA765" w14:textId="5905CE16" w:rsidR="00B55157" w:rsidRDefault="00F96444" w:rsidP="00F96444">
      <w:pPr>
        <w:pStyle w:val="ListParagraph"/>
        <w:numPr>
          <w:ilvl w:val="1"/>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
        </w:rPr>
        <w:t>Una parte puede llamar como su testigo a la parte contraria</w:t>
      </w:r>
    </w:p>
    <w:p w14:paraId="4EBFF829" w14:textId="6A24F07E" w:rsidR="00F96444" w:rsidRDefault="00F96444" w:rsidP="00F96444">
      <w:pPr>
        <w:pStyle w:val="ListParagraph"/>
        <w:numPr>
          <w:ilvl w:val="1"/>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
        </w:rPr>
        <w:t xml:space="preserve">Puede presentarse un </w:t>
      </w:r>
      <w:proofErr w:type="spellStart"/>
      <w:r w:rsidRPr="00A5660C">
        <w:rPr>
          <w:rFonts w:ascii="Times New Roman" w:hAnsi="Times New Roman" w:cs="Times New Roman"/>
          <w:bCs/>
          <w:i/>
          <w:iCs/>
          <w:sz w:val="24"/>
          <w:szCs w:val="24"/>
          <w:lang w:val="es-ES"/>
        </w:rPr>
        <w:t>nonsuit</w:t>
      </w:r>
      <w:proofErr w:type="spellEnd"/>
    </w:p>
    <w:p w14:paraId="52146420" w14:textId="77777777" w:rsidR="00A5660C" w:rsidRPr="00096A51" w:rsidRDefault="00F96444" w:rsidP="00F96444">
      <w:pPr>
        <w:pStyle w:val="ListParagraph"/>
        <w:numPr>
          <w:ilvl w:val="0"/>
          <w:numId w:val="1"/>
        </w:numPr>
        <w:spacing w:line="360" w:lineRule="auto"/>
        <w:jc w:val="both"/>
        <w:rPr>
          <w:rFonts w:ascii="Times New Roman" w:hAnsi="Times New Roman" w:cs="Times New Roman"/>
          <w:bCs/>
          <w:i/>
          <w:iCs/>
          <w:sz w:val="24"/>
          <w:szCs w:val="24"/>
          <w:lang w:val="es-ES"/>
        </w:rPr>
      </w:pPr>
      <w:proofErr w:type="spellStart"/>
      <w:r w:rsidRPr="00096A51">
        <w:rPr>
          <w:rFonts w:ascii="Times New Roman" w:hAnsi="Times New Roman" w:cs="Times New Roman"/>
          <w:bCs/>
          <w:i/>
          <w:iCs/>
          <w:sz w:val="24"/>
          <w:szCs w:val="24"/>
          <w:lang w:val="es-ES"/>
        </w:rPr>
        <w:t>Nonsuit</w:t>
      </w:r>
      <w:proofErr w:type="spellEnd"/>
      <w:r w:rsidRPr="00096A51">
        <w:rPr>
          <w:rFonts w:ascii="Times New Roman" w:hAnsi="Times New Roman" w:cs="Times New Roman"/>
          <w:bCs/>
          <w:i/>
          <w:iCs/>
          <w:sz w:val="24"/>
          <w:szCs w:val="24"/>
          <w:lang w:val="es-ES"/>
        </w:rPr>
        <w:t xml:space="preserve"> </w:t>
      </w:r>
    </w:p>
    <w:p w14:paraId="262AEF70" w14:textId="2BFE6ED8" w:rsidR="00F96444" w:rsidRPr="00096A51" w:rsidRDefault="00A5660C" w:rsidP="00A5660C">
      <w:pPr>
        <w:pStyle w:val="ListParagraph"/>
        <w:spacing w:line="360" w:lineRule="auto"/>
        <w:jc w:val="both"/>
        <w:rPr>
          <w:rFonts w:ascii="Times New Roman" w:hAnsi="Times New Roman" w:cs="Times New Roman"/>
          <w:bCs/>
          <w:sz w:val="24"/>
          <w:szCs w:val="24"/>
          <w:lang w:val="es-ES"/>
        </w:rPr>
      </w:pPr>
      <w:r w:rsidRPr="00096A51">
        <w:rPr>
          <w:rFonts w:ascii="Times New Roman" w:hAnsi="Times New Roman" w:cs="Times New Roman"/>
          <w:bCs/>
          <w:sz w:val="24"/>
          <w:szCs w:val="24"/>
          <w:lang w:val="es-ES"/>
        </w:rPr>
        <w:t>E</w:t>
      </w:r>
      <w:r w:rsidR="00F96444" w:rsidRPr="00096A51">
        <w:rPr>
          <w:rFonts w:ascii="Times New Roman" w:hAnsi="Times New Roman" w:cs="Times New Roman"/>
          <w:bCs/>
          <w:sz w:val="24"/>
          <w:szCs w:val="24"/>
          <w:lang w:val="es-ES"/>
        </w:rPr>
        <w:t>j.</w:t>
      </w:r>
      <w:r w:rsidRPr="00096A51">
        <w:rPr>
          <w:rFonts w:ascii="Times New Roman" w:hAnsi="Times New Roman" w:cs="Times New Roman"/>
          <w:bCs/>
          <w:sz w:val="24"/>
          <w:szCs w:val="24"/>
          <w:lang w:val="es-ES"/>
        </w:rPr>
        <w:t xml:space="preserve"> #1</w:t>
      </w:r>
      <w:r w:rsidR="00F96444" w:rsidRPr="00096A51">
        <w:rPr>
          <w:rFonts w:ascii="Times New Roman" w:hAnsi="Times New Roman" w:cs="Times New Roman"/>
          <w:sz w:val="24"/>
          <w:szCs w:val="24"/>
          <w:lang w:val="es-ES"/>
        </w:rPr>
        <w:t xml:space="preserve"> Cuando el demandante </w:t>
      </w:r>
      <w:r w:rsidR="00F96444" w:rsidRPr="00096A51">
        <w:rPr>
          <w:rFonts w:ascii="Times New Roman" w:hAnsi="Times New Roman" w:cs="Times New Roman"/>
          <w:sz w:val="24"/>
          <w:szCs w:val="24"/>
          <w:u w:val="single"/>
          <w:lang w:val="es-ES"/>
        </w:rPr>
        <w:t>no</w:t>
      </w:r>
      <w:r w:rsidR="00F96444" w:rsidRPr="00096A51">
        <w:rPr>
          <w:rFonts w:ascii="Times New Roman" w:hAnsi="Times New Roman" w:cs="Times New Roman"/>
          <w:sz w:val="24"/>
          <w:szCs w:val="24"/>
          <w:lang w:val="es-ES"/>
        </w:rPr>
        <w:t xml:space="preserve"> logra probar </w:t>
      </w:r>
      <w:r w:rsidR="00F96444" w:rsidRPr="00096A51">
        <w:rPr>
          <w:rFonts w:ascii="Times New Roman" w:hAnsi="Times New Roman" w:cs="Times New Roman"/>
          <w:bCs/>
          <w:sz w:val="24"/>
          <w:szCs w:val="24"/>
          <w:lang w:val="es-ES"/>
        </w:rPr>
        <w:t>que la deuda es una líquida, vencida y exigible</w:t>
      </w:r>
      <w:r w:rsidR="00F96444" w:rsidRPr="00096A51">
        <w:rPr>
          <w:rFonts w:ascii="Times New Roman" w:hAnsi="Times New Roman" w:cs="Times New Roman"/>
          <w:bCs/>
          <w:sz w:val="24"/>
          <w:szCs w:val="24"/>
          <w:lang w:val="es-ES"/>
        </w:rPr>
        <w:t xml:space="preserve">; </w:t>
      </w:r>
    </w:p>
    <w:p w14:paraId="1FF00E5D" w14:textId="77777777" w:rsidR="00F96444" w:rsidRPr="00F96444" w:rsidRDefault="00F96444" w:rsidP="00F96444">
      <w:pPr>
        <w:pStyle w:val="ListParagraph"/>
        <w:numPr>
          <w:ilvl w:val="1"/>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
        </w:rPr>
        <w:t xml:space="preserve">La Regla 39.2 de Procedimiento Civil autoriza al tribunal a aquilatar la prueba presentada por el demandante y a formular su apreciación de los hechos según la credibilidad que le merezcan, sin que tenga que exigir la prueba presentada por el demandado si se convence de que el demandante no puede prevalecer. </w:t>
      </w:r>
      <w:r w:rsidRPr="00F96444">
        <w:rPr>
          <w:rFonts w:ascii="Times New Roman" w:hAnsi="Times New Roman" w:cs="Times New Roman"/>
          <w:bCs/>
          <w:sz w:val="24"/>
          <w:szCs w:val="24"/>
          <w:u w:val="single"/>
          <w:lang w:val="es-ES"/>
        </w:rPr>
        <w:t>Roselló Cruz v. García</w:t>
      </w:r>
      <w:r w:rsidRPr="00F96444">
        <w:rPr>
          <w:rFonts w:ascii="Times New Roman" w:hAnsi="Times New Roman" w:cs="Times New Roman"/>
          <w:bCs/>
          <w:sz w:val="24"/>
          <w:szCs w:val="24"/>
          <w:lang w:val="es-ES"/>
        </w:rPr>
        <w:t>, 116 DPR 511 (1985).</w:t>
      </w:r>
    </w:p>
    <w:p w14:paraId="65C28B17" w14:textId="6C8801C3" w:rsidR="00F96444" w:rsidRDefault="00F96444" w:rsidP="00F96444">
      <w:pPr>
        <w:pStyle w:val="ListParagraph"/>
        <w:numPr>
          <w:ilvl w:val="1"/>
          <w:numId w:val="1"/>
        </w:numPr>
        <w:spacing w:line="360" w:lineRule="auto"/>
        <w:jc w:val="both"/>
        <w:rPr>
          <w:rFonts w:ascii="Times New Roman" w:hAnsi="Times New Roman" w:cs="Times New Roman"/>
          <w:bCs/>
          <w:sz w:val="24"/>
          <w:szCs w:val="24"/>
          <w:lang w:val="es-ES"/>
        </w:rPr>
      </w:pPr>
      <w:r w:rsidRPr="00F96444">
        <w:rPr>
          <w:rFonts w:ascii="Times New Roman" w:hAnsi="Times New Roman" w:cs="Times New Roman"/>
          <w:bCs/>
          <w:sz w:val="24"/>
          <w:szCs w:val="24"/>
          <w:lang w:val="es-ES"/>
        </w:rPr>
        <w:t xml:space="preserve">Muy poco se ganaría con exigir invariablemente la presentación de la prueba de la parte demandada cuando el juez está convencido que el demandante no puede prevalecer. </w:t>
      </w:r>
      <w:r w:rsidRPr="00F96444">
        <w:rPr>
          <w:rFonts w:ascii="Times New Roman" w:hAnsi="Times New Roman" w:cs="Times New Roman"/>
          <w:bCs/>
          <w:sz w:val="24"/>
          <w:szCs w:val="24"/>
          <w:u w:val="single"/>
          <w:lang w:val="es-ES"/>
        </w:rPr>
        <w:t>Irizarry v. A.F.F.</w:t>
      </w:r>
      <w:r w:rsidRPr="00F96444">
        <w:rPr>
          <w:rFonts w:ascii="Times New Roman" w:hAnsi="Times New Roman" w:cs="Times New Roman"/>
          <w:bCs/>
          <w:sz w:val="24"/>
          <w:szCs w:val="24"/>
          <w:lang w:val="es-ES"/>
        </w:rPr>
        <w:t>, 93 DPR 416 (1966).</w:t>
      </w:r>
    </w:p>
    <w:p w14:paraId="38B87D51" w14:textId="77777777" w:rsidR="00096A51" w:rsidRDefault="00096A51" w:rsidP="00096A51">
      <w:pPr>
        <w:pStyle w:val="ListParagraph"/>
        <w:spacing w:line="360" w:lineRule="auto"/>
        <w:ind w:left="1440"/>
        <w:jc w:val="both"/>
        <w:rPr>
          <w:rFonts w:ascii="Times New Roman" w:hAnsi="Times New Roman" w:cs="Times New Roman"/>
          <w:bCs/>
          <w:sz w:val="24"/>
          <w:szCs w:val="24"/>
          <w:lang w:val="es-ES"/>
        </w:rPr>
      </w:pPr>
    </w:p>
    <w:p w14:paraId="5670D49B" w14:textId="428D7DFE" w:rsidR="00F96444" w:rsidRDefault="00A5660C" w:rsidP="00F96444">
      <w:pPr>
        <w:pStyle w:val="ListParagraph"/>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Ej. #2 Nulidad del contrato que da origen a la obligación que se reclama;</w:t>
      </w:r>
    </w:p>
    <w:p w14:paraId="08A2D856" w14:textId="77777777" w:rsidR="00A5660C" w:rsidRPr="00A5660C" w:rsidRDefault="00A5660C" w:rsidP="00A5660C">
      <w:pPr>
        <w:pStyle w:val="ListParagraph"/>
        <w:numPr>
          <w:ilvl w:val="0"/>
          <w:numId w:val="14"/>
        </w:numPr>
        <w:spacing w:line="360" w:lineRule="auto"/>
        <w:jc w:val="both"/>
        <w:rPr>
          <w:rFonts w:ascii="Times New Roman" w:hAnsi="Times New Roman" w:cs="Times New Roman"/>
          <w:bCs/>
          <w:sz w:val="24"/>
          <w:szCs w:val="24"/>
          <w:lang w:val="es-ES"/>
        </w:rPr>
      </w:pPr>
      <w:r w:rsidRPr="00A5660C">
        <w:rPr>
          <w:rFonts w:ascii="Times New Roman" w:hAnsi="Times New Roman" w:cs="Times New Roman"/>
          <w:bCs/>
          <w:sz w:val="24"/>
          <w:szCs w:val="24"/>
          <w:lang w:val="es-ES"/>
        </w:rPr>
        <w:t xml:space="preserve">En nuestro ordenamiento jurídico no se puede contratar a nombre de otro sin estar autorizado por este o sin tener por la ley su representación legal. El contrato celebrado a nombre de otro por quien no tenga su autorización o representación legal será nulo, a no ser que lo ratifique la persona a cuyo nombre se otorgue antes de ser revocado por la otra parte contratante. </w:t>
      </w:r>
      <w:r w:rsidRPr="00A5660C">
        <w:rPr>
          <w:rFonts w:ascii="Times New Roman" w:hAnsi="Times New Roman" w:cs="Times New Roman"/>
          <w:bCs/>
          <w:sz w:val="24"/>
          <w:szCs w:val="24"/>
          <w:u w:val="single"/>
          <w:lang w:val="es-ES"/>
        </w:rPr>
        <w:t>Scotiabank v. TCG et al.</w:t>
      </w:r>
      <w:r w:rsidRPr="00A5660C">
        <w:rPr>
          <w:rFonts w:ascii="Times New Roman" w:hAnsi="Times New Roman" w:cs="Times New Roman"/>
          <w:bCs/>
          <w:sz w:val="24"/>
          <w:szCs w:val="24"/>
          <w:lang w:val="es-ES"/>
        </w:rPr>
        <w:t>, 2017 TSPR 88.</w:t>
      </w:r>
    </w:p>
    <w:p w14:paraId="6A521F80" w14:textId="77777777" w:rsidR="00A5660C" w:rsidRPr="00A5660C" w:rsidRDefault="00A5660C" w:rsidP="00A5660C">
      <w:pPr>
        <w:pStyle w:val="ListParagraph"/>
        <w:numPr>
          <w:ilvl w:val="0"/>
          <w:numId w:val="14"/>
        </w:numPr>
        <w:spacing w:line="360" w:lineRule="auto"/>
        <w:jc w:val="both"/>
        <w:rPr>
          <w:rFonts w:ascii="Times New Roman" w:hAnsi="Times New Roman" w:cs="Times New Roman"/>
          <w:bCs/>
          <w:sz w:val="24"/>
          <w:szCs w:val="24"/>
          <w:lang w:val="es-ES"/>
        </w:rPr>
      </w:pPr>
      <w:r w:rsidRPr="00A5660C">
        <w:rPr>
          <w:rFonts w:ascii="Times New Roman" w:hAnsi="Times New Roman" w:cs="Times New Roman"/>
          <w:bCs/>
          <w:sz w:val="24"/>
          <w:szCs w:val="24"/>
          <w:lang w:val="es-ES"/>
        </w:rPr>
        <w:t xml:space="preserve">Ver también </w:t>
      </w:r>
      <w:r w:rsidRPr="00A5660C">
        <w:rPr>
          <w:rFonts w:ascii="Times New Roman" w:hAnsi="Times New Roman" w:cs="Times New Roman"/>
          <w:bCs/>
          <w:sz w:val="24"/>
          <w:szCs w:val="24"/>
          <w:u w:val="single"/>
          <w:lang w:val="es-ES"/>
        </w:rPr>
        <w:t>Moreno v. Amor Que Sana, Inc.</w:t>
      </w:r>
      <w:r w:rsidRPr="00A5660C">
        <w:rPr>
          <w:rFonts w:ascii="Times New Roman" w:hAnsi="Times New Roman" w:cs="Times New Roman"/>
          <w:bCs/>
          <w:sz w:val="24"/>
          <w:szCs w:val="24"/>
          <w:lang w:val="es-ES"/>
        </w:rPr>
        <w:t>, 2017 TA 3181.</w:t>
      </w:r>
    </w:p>
    <w:p w14:paraId="4927500A" w14:textId="3808EB0B" w:rsidR="00A5660C" w:rsidRDefault="00A5660C" w:rsidP="00A5660C">
      <w:pPr>
        <w:pStyle w:val="ListParagraph"/>
        <w:numPr>
          <w:ilvl w:val="0"/>
          <w:numId w:val="1"/>
        </w:numPr>
        <w:spacing w:line="360"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Moción enmienda </w:t>
      </w:r>
      <w:r w:rsidRPr="00A5660C">
        <w:rPr>
          <w:rFonts w:ascii="Times New Roman" w:hAnsi="Times New Roman" w:cs="Times New Roman"/>
          <w:bCs/>
          <w:i/>
          <w:iCs/>
          <w:sz w:val="24"/>
          <w:szCs w:val="24"/>
          <w:lang w:val="es-ES"/>
        </w:rPr>
        <w:t xml:space="preserve">nunc pro </w:t>
      </w:r>
      <w:proofErr w:type="spellStart"/>
      <w:r w:rsidRPr="00A5660C">
        <w:rPr>
          <w:rFonts w:ascii="Times New Roman" w:hAnsi="Times New Roman" w:cs="Times New Roman"/>
          <w:bCs/>
          <w:i/>
          <w:iCs/>
          <w:sz w:val="24"/>
          <w:szCs w:val="24"/>
          <w:lang w:val="es-ES"/>
        </w:rPr>
        <w:t>tunc</w:t>
      </w:r>
      <w:proofErr w:type="spellEnd"/>
      <w:r>
        <w:rPr>
          <w:rFonts w:ascii="Times New Roman" w:hAnsi="Times New Roman" w:cs="Times New Roman"/>
          <w:bCs/>
          <w:sz w:val="24"/>
          <w:szCs w:val="24"/>
          <w:lang w:val="es-ES"/>
        </w:rPr>
        <w:t xml:space="preserve"> </w:t>
      </w:r>
    </w:p>
    <w:p w14:paraId="447FA31F" w14:textId="77777777" w:rsidR="00A5660C" w:rsidRPr="00A5660C" w:rsidRDefault="00A5660C" w:rsidP="00A5660C">
      <w:pPr>
        <w:spacing w:line="360" w:lineRule="auto"/>
        <w:ind w:left="360"/>
        <w:jc w:val="both"/>
        <w:rPr>
          <w:rFonts w:ascii="Times New Roman" w:hAnsi="Times New Roman" w:cs="Times New Roman"/>
          <w:bCs/>
          <w:sz w:val="24"/>
          <w:szCs w:val="24"/>
        </w:rPr>
      </w:pPr>
      <w:r w:rsidRPr="00A5660C">
        <w:rPr>
          <w:rFonts w:ascii="Times New Roman" w:hAnsi="Times New Roman" w:cs="Times New Roman"/>
          <w:bCs/>
          <w:sz w:val="24"/>
          <w:szCs w:val="24"/>
          <w:lang w:val="es-ES"/>
        </w:rPr>
        <w:t xml:space="preserve">La Regla 49.1 de Procedimiento Civil dispone que los errores de forma en las sentencias, órdenes u otras partes del expediente y los que aparezcan en éstas por inadvertencia u omisión, podrán corregirse por el tribunal mediante una enmienda </w:t>
      </w:r>
      <w:r w:rsidRPr="00A5660C">
        <w:rPr>
          <w:rFonts w:ascii="Times New Roman" w:hAnsi="Times New Roman" w:cs="Times New Roman"/>
          <w:bCs/>
          <w:i/>
          <w:iCs/>
          <w:sz w:val="24"/>
          <w:szCs w:val="24"/>
          <w:lang w:val="es-ES"/>
        </w:rPr>
        <w:t xml:space="preserve">nunc pro </w:t>
      </w:r>
      <w:proofErr w:type="spellStart"/>
      <w:r w:rsidRPr="00A5660C">
        <w:rPr>
          <w:rFonts w:ascii="Times New Roman" w:hAnsi="Times New Roman" w:cs="Times New Roman"/>
          <w:bCs/>
          <w:i/>
          <w:iCs/>
          <w:sz w:val="24"/>
          <w:szCs w:val="24"/>
          <w:lang w:val="es-ES"/>
        </w:rPr>
        <w:t>tunc</w:t>
      </w:r>
      <w:proofErr w:type="spellEnd"/>
      <w:r w:rsidRPr="00A5660C">
        <w:rPr>
          <w:rFonts w:ascii="Times New Roman" w:hAnsi="Times New Roman" w:cs="Times New Roman"/>
          <w:bCs/>
          <w:sz w:val="24"/>
          <w:szCs w:val="24"/>
          <w:lang w:val="es-ES"/>
        </w:rPr>
        <w:t xml:space="preserve"> en cualquier tiempo, a su propia iniciativa, o a moción de cualquier parte, previa notificación, si ésta se ordena. </w:t>
      </w:r>
      <w:r w:rsidRPr="00A5660C">
        <w:rPr>
          <w:rFonts w:ascii="Times New Roman" w:hAnsi="Times New Roman" w:cs="Times New Roman"/>
          <w:bCs/>
          <w:sz w:val="24"/>
          <w:szCs w:val="24"/>
          <w:u w:val="single"/>
          <w:lang w:val="es-ES"/>
        </w:rPr>
        <w:t xml:space="preserve">Otero Vélez v. </w:t>
      </w:r>
      <w:proofErr w:type="spellStart"/>
      <w:r w:rsidRPr="00A5660C">
        <w:rPr>
          <w:rFonts w:ascii="Times New Roman" w:hAnsi="Times New Roman" w:cs="Times New Roman"/>
          <w:bCs/>
          <w:sz w:val="24"/>
          <w:szCs w:val="24"/>
          <w:u w:val="single"/>
          <w:lang w:val="es-ES"/>
        </w:rPr>
        <w:t>Schroder</w:t>
      </w:r>
      <w:proofErr w:type="spellEnd"/>
      <w:r w:rsidRPr="00A5660C">
        <w:rPr>
          <w:rFonts w:ascii="Times New Roman" w:hAnsi="Times New Roman" w:cs="Times New Roman"/>
          <w:bCs/>
          <w:sz w:val="24"/>
          <w:szCs w:val="24"/>
          <w:u w:val="single"/>
          <w:lang w:val="es-ES"/>
        </w:rPr>
        <w:t xml:space="preserve"> Muñoz</w:t>
      </w:r>
      <w:r w:rsidRPr="00A5660C">
        <w:rPr>
          <w:rFonts w:ascii="Times New Roman" w:hAnsi="Times New Roman" w:cs="Times New Roman"/>
          <w:bCs/>
          <w:sz w:val="24"/>
          <w:szCs w:val="24"/>
          <w:lang w:val="es-ES"/>
        </w:rPr>
        <w:t xml:space="preserve">, 2018 TSPR 56. </w:t>
      </w:r>
    </w:p>
    <w:p w14:paraId="6FA1C708" w14:textId="492DE188" w:rsidR="00A5660C" w:rsidRDefault="00A5660C" w:rsidP="00A5660C">
      <w:pPr>
        <w:spacing w:line="360" w:lineRule="auto"/>
        <w:ind w:left="360"/>
        <w:jc w:val="both"/>
        <w:rPr>
          <w:rFonts w:ascii="Times New Roman" w:hAnsi="Times New Roman" w:cs="Times New Roman"/>
          <w:bCs/>
          <w:sz w:val="24"/>
          <w:szCs w:val="24"/>
          <w:lang w:val="es-ES"/>
        </w:rPr>
      </w:pPr>
      <w:r w:rsidRPr="00A5660C">
        <w:rPr>
          <w:rFonts w:ascii="Times New Roman" w:hAnsi="Times New Roman" w:cs="Times New Roman"/>
          <w:bCs/>
          <w:sz w:val="24"/>
          <w:szCs w:val="24"/>
          <w:lang w:val="es-ES"/>
        </w:rPr>
        <w:t xml:space="preserve">Si un derecho a cierto remedio judicial está claramente sostenido por el récord en un caso, la omisión en concederlo en la correspondiente sentencia es subsanable, por ser un error de forma, añadiéndolo mediante enmienda </w:t>
      </w:r>
      <w:r w:rsidRPr="00A5660C">
        <w:rPr>
          <w:rFonts w:ascii="Times New Roman" w:hAnsi="Times New Roman" w:cs="Times New Roman"/>
          <w:bCs/>
          <w:i/>
          <w:iCs/>
          <w:sz w:val="24"/>
          <w:szCs w:val="24"/>
          <w:lang w:val="es-ES"/>
        </w:rPr>
        <w:t xml:space="preserve">nunc pro </w:t>
      </w:r>
      <w:proofErr w:type="spellStart"/>
      <w:r w:rsidRPr="00A5660C">
        <w:rPr>
          <w:rFonts w:ascii="Times New Roman" w:hAnsi="Times New Roman" w:cs="Times New Roman"/>
          <w:bCs/>
          <w:i/>
          <w:iCs/>
          <w:sz w:val="24"/>
          <w:szCs w:val="24"/>
          <w:lang w:val="es-ES"/>
        </w:rPr>
        <w:t>tunc</w:t>
      </w:r>
      <w:proofErr w:type="spellEnd"/>
      <w:r w:rsidRPr="00A5660C">
        <w:rPr>
          <w:rFonts w:ascii="Times New Roman" w:hAnsi="Times New Roman" w:cs="Times New Roman"/>
          <w:bCs/>
          <w:sz w:val="24"/>
          <w:szCs w:val="24"/>
          <w:lang w:val="es-ES"/>
        </w:rPr>
        <w:t xml:space="preserve"> a la sentencia. </w:t>
      </w:r>
      <w:r w:rsidRPr="00A5660C">
        <w:rPr>
          <w:rFonts w:ascii="Times New Roman" w:hAnsi="Times New Roman" w:cs="Times New Roman"/>
          <w:bCs/>
          <w:sz w:val="24"/>
          <w:szCs w:val="24"/>
          <w:u w:val="single"/>
          <w:lang w:val="es-ES"/>
        </w:rPr>
        <w:t xml:space="preserve">Security </w:t>
      </w:r>
      <w:proofErr w:type="spellStart"/>
      <w:r w:rsidRPr="00A5660C">
        <w:rPr>
          <w:rFonts w:ascii="Times New Roman" w:hAnsi="Times New Roman" w:cs="Times New Roman"/>
          <w:bCs/>
          <w:sz w:val="24"/>
          <w:szCs w:val="24"/>
          <w:u w:val="single"/>
          <w:lang w:val="es-ES"/>
        </w:rPr>
        <w:t>Ins</w:t>
      </w:r>
      <w:proofErr w:type="spellEnd"/>
      <w:r w:rsidRPr="00A5660C">
        <w:rPr>
          <w:rFonts w:ascii="Times New Roman" w:hAnsi="Times New Roman" w:cs="Times New Roman"/>
          <w:bCs/>
          <w:sz w:val="24"/>
          <w:szCs w:val="24"/>
          <w:u w:val="single"/>
          <w:lang w:val="es-ES"/>
        </w:rPr>
        <w:t>. Co. v. Tribunal Superior</w:t>
      </w:r>
      <w:r w:rsidRPr="00A5660C">
        <w:rPr>
          <w:rFonts w:ascii="Times New Roman" w:hAnsi="Times New Roman" w:cs="Times New Roman"/>
          <w:bCs/>
          <w:sz w:val="24"/>
          <w:szCs w:val="24"/>
          <w:lang w:val="es-ES"/>
        </w:rPr>
        <w:t>, 101 DPR 191 (1973).</w:t>
      </w:r>
    </w:p>
    <w:p w14:paraId="003204C3" w14:textId="568059EE" w:rsidR="00A5660C" w:rsidRDefault="002A3EC7" w:rsidP="00A5660C">
      <w:pPr>
        <w:pStyle w:val="ListParagraph"/>
        <w:numPr>
          <w:ilvl w:val="0"/>
          <w:numId w:val="1"/>
        </w:numPr>
        <w:spacing w:line="360" w:lineRule="auto"/>
        <w:jc w:val="both"/>
        <w:rPr>
          <w:rFonts w:ascii="Times New Roman" w:hAnsi="Times New Roman" w:cs="Times New Roman"/>
          <w:bCs/>
          <w:sz w:val="24"/>
          <w:szCs w:val="24"/>
          <w:lang w:val="es-ES"/>
        </w:rPr>
      </w:pPr>
      <w:r w:rsidRPr="002A3EC7">
        <w:rPr>
          <w:rFonts w:ascii="Times New Roman" w:hAnsi="Times New Roman" w:cs="Times New Roman"/>
          <w:bCs/>
          <w:sz w:val="24"/>
          <w:szCs w:val="24"/>
          <w:lang w:val="es-ES"/>
        </w:rPr>
        <w:t>Costas y honorarios de a</w:t>
      </w:r>
      <w:r>
        <w:rPr>
          <w:rFonts w:ascii="Times New Roman" w:hAnsi="Times New Roman" w:cs="Times New Roman"/>
          <w:bCs/>
          <w:sz w:val="24"/>
          <w:szCs w:val="24"/>
          <w:lang w:val="es-ES"/>
        </w:rPr>
        <w:t xml:space="preserve">bogado </w:t>
      </w:r>
    </w:p>
    <w:p w14:paraId="1BA404F9" w14:textId="77777777" w:rsidR="002A3EC7" w:rsidRPr="002A3EC7" w:rsidRDefault="002A3EC7" w:rsidP="002A3EC7">
      <w:pPr>
        <w:pStyle w:val="ListParagraph"/>
        <w:numPr>
          <w:ilvl w:val="1"/>
          <w:numId w:val="1"/>
        </w:numPr>
        <w:spacing w:line="360" w:lineRule="auto"/>
        <w:jc w:val="both"/>
        <w:rPr>
          <w:rFonts w:ascii="Times New Roman" w:hAnsi="Times New Roman" w:cs="Times New Roman"/>
          <w:bCs/>
          <w:sz w:val="24"/>
          <w:szCs w:val="24"/>
        </w:rPr>
      </w:pPr>
      <w:r w:rsidRPr="002A3EC7">
        <w:rPr>
          <w:rFonts w:ascii="Times New Roman" w:hAnsi="Times New Roman" w:cs="Times New Roman"/>
          <w:bCs/>
          <w:sz w:val="24"/>
          <w:szCs w:val="24"/>
          <w:lang w:val="es-ES"/>
        </w:rPr>
        <w:t xml:space="preserve">Las “costas” son los gastos necesariamente incurridos en la tramitación de un pleito y que la ley ordena que el litigante perdidoso le reembolse al otro, o que se autorice al tribunal a imponerlos. </w:t>
      </w:r>
      <w:r w:rsidRPr="002A3EC7">
        <w:rPr>
          <w:rFonts w:ascii="Times New Roman" w:hAnsi="Times New Roman" w:cs="Times New Roman"/>
          <w:bCs/>
          <w:sz w:val="24"/>
          <w:szCs w:val="24"/>
          <w:u w:val="single"/>
          <w:lang w:val="es-ES"/>
        </w:rPr>
        <w:t>Garriga, Jr. v. Tribunal Superior</w:t>
      </w:r>
      <w:r w:rsidRPr="002A3EC7">
        <w:rPr>
          <w:rFonts w:ascii="Times New Roman" w:hAnsi="Times New Roman" w:cs="Times New Roman"/>
          <w:bCs/>
          <w:sz w:val="24"/>
          <w:szCs w:val="24"/>
          <w:lang w:val="es-ES"/>
        </w:rPr>
        <w:t xml:space="preserve">, 88 DPR 245 (1963). </w:t>
      </w:r>
    </w:p>
    <w:p w14:paraId="7E5F9706" w14:textId="77777777" w:rsidR="002A3EC7" w:rsidRPr="002A3EC7" w:rsidRDefault="002A3EC7" w:rsidP="002A3EC7">
      <w:pPr>
        <w:pStyle w:val="ListParagraph"/>
        <w:numPr>
          <w:ilvl w:val="1"/>
          <w:numId w:val="1"/>
        </w:numPr>
        <w:spacing w:line="360" w:lineRule="auto"/>
        <w:jc w:val="both"/>
        <w:rPr>
          <w:rFonts w:ascii="Times New Roman" w:hAnsi="Times New Roman" w:cs="Times New Roman"/>
          <w:bCs/>
          <w:sz w:val="24"/>
          <w:szCs w:val="24"/>
        </w:rPr>
      </w:pPr>
      <w:r w:rsidRPr="002A3EC7">
        <w:rPr>
          <w:rFonts w:ascii="Times New Roman" w:hAnsi="Times New Roman" w:cs="Times New Roman"/>
          <w:bCs/>
          <w:sz w:val="24"/>
          <w:szCs w:val="24"/>
          <w:lang w:val="es-ES"/>
        </w:rPr>
        <w:t xml:space="preserve">La condena al pago de honorarios de abogado e intereses tiene como propósito fundamental el penalizar o sancionar a aquellas partes </w:t>
      </w:r>
      <w:proofErr w:type="gramStart"/>
      <w:r w:rsidRPr="002A3EC7">
        <w:rPr>
          <w:rFonts w:ascii="Times New Roman" w:hAnsi="Times New Roman" w:cs="Times New Roman"/>
          <w:bCs/>
          <w:sz w:val="24"/>
          <w:szCs w:val="24"/>
          <w:lang w:val="es-ES"/>
        </w:rPr>
        <w:t>que</w:t>
      </w:r>
      <w:proofErr w:type="gramEnd"/>
      <w:r w:rsidRPr="002A3EC7">
        <w:rPr>
          <w:rFonts w:ascii="Times New Roman" w:hAnsi="Times New Roman" w:cs="Times New Roman"/>
          <w:bCs/>
          <w:sz w:val="24"/>
          <w:szCs w:val="24"/>
          <w:lang w:val="es-ES"/>
        </w:rPr>
        <w:t xml:space="preserve"> por su temeridad, obstinación, contumacia e insistencia en una actitud frívola o desprovista de fundamento, obligan a otra parte a asumir y a sufrir las molestias, los gastos, el trabajo y la inconsecuencia de un litigio innecesario. Mediante este mecanismo, los tribunales protegen a los litigantes honestos de imposiciones, dilaciones y gastos innecesarios. </w:t>
      </w:r>
      <w:r w:rsidRPr="002A3EC7">
        <w:rPr>
          <w:rFonts w:ascii="Times New Roman" w:hAnsi="Times New Roman" w:cs="Times New Roman"/>
          <w:bCs/>
          <w:sz w:val="24"/>
          <w:szCs w:val="24"/>
          <w:u w:val="single"/>
          <w:lang w:val="es-ES"/>
        </w:rPr>
        <w:t>Pérez v. Col. Cirujanos Dentistas de P.R.</w:t>
      </w:r>
      <w:r w:rsidRPr="002A3EC7">
        <w:rPr>
          <w:rFonts w:ascii="Times New Roman" w:hAnsi="Times New Roman" w:cs="Times New Roman"/>
          <w:bCs/>
          <w:sz w:val="24"/>
          <w:szCs w:val="24"/>
          <w:lang w:val="es-ES"/>
        </w:rPr>
        <w:t xml:space="preserve">, 131 DPR 545 (1992). </w:t>
      </w:r>
    </w:p>
    <w:p w14:paraId="1506ECB6" w14:textId="77777777" w:rsidR="002A3EC7" w:rsidRPr="002A3EC7" w:rsidRDefault="002A3EC7" w:rsidP="002A3EC7">
      <w:pPr>
        <w:pStyle w:val="ListParagraph"/>
        <w:spacing w:line="360" w:lineRule="auto"/>
        <w:ind w:left="1440"/>
        <w:jc w:val="both"/>
        <w:rPr>
          <w:rFonts w:ascii="Times New Roman" w:hAnsi="Times New Roman" w:cs="Times New Roman"/>
          <w:bCs/>
          <w:sz w:val="24"/>
          <w:szCs w:val="24"/>
          <w:lang w:val="es-ES"/>
        </w:rPr>
      </w:pPr>
    </w:p>
    <w:p w14:paraId="6763FB91" w14:textId="77777777" w:rsidR="00A5660C" w:rsidRPr="00A5660C" w:rsidRDefault="00A5660C" w:rsidP="00A5660C">
      <w:pPr>
        <w:pStyle w:val="ListParagraph"/>
        <w:spacing w:line="360" w:lineRule="auto"/>
        <w:jc w:val="both"/>
        <w:rPr>
          <w:rFonts w:ascii="Times New Roman" w:hAnsi="Times New Roman" w:cs="Times New Roman"/>
          <w:bCs/>
          <w:sz w:val="24"/>
          <w:szCs w:val="24"/>
          <w:lang w:val="es-ES"/>
        </w:rPr>
      </w:pPr>
    </w:p>
    <w:p w14:paraId="53033153" w14:textId="77777777" w:rsidR="00B55157" w:rsidRPr="00B55157" w:rsidRDefault="00B55157" w:rsidP="00B55157">
      <w:pPr>
        <w:spacing w:line="360" w:lineRule="auto"/>
        <w:ind w:left="360"/>
        <w:rPr>
          <w:rFonts w:ascii="Times New Roman" w:hAnsi="Times New Roman" w:cs="Times New Roman"/>
          <w:bCs/>
          <w:sz w:val="24"/>
          <w:szCs w:val="24"/>
          <w:lang w:val="es-ES"/>
        </w:rPr>
      </w:pPr>
    </w:p>
    <w:p w14:paraId="505F467C" w14:textId="77777777" w:rsidR="00B55157" w:rsidRPr="00B55157" w:rsidRDefault="00B55157" w:rsidP="00B55157">
      <w:pPr>
        <w:spacing w:line="360" w:lineRule="auto"/>
        <w:jc w:val="both"/>
        <w:rPr>
          <w:rFonts w:ascii="Times New Roman" w:hAnsi="Times New Roman" w:cs="Times New Roman"/>
          <w:bCs/>
          <w:sz w:val="24"/>
          <w:szCs w:val="24"/>
          <w:lang w:val="es-ES_tradnl"/>
        </w:rPr>
      </w:pPr>
    </w:p>
    <w:p w14:paraId="695F74A1" w14:textId="77777777" w:rsidR="00B55157" w:rsidRPr="00B55157" w:rsidRDefault="00B55157" w:rsidP="00B55157">
      <w:pPr>
        <w:spacing w:line="360" w:lineRule="auto"/>
        <w:ind w:left="360"/>
        <w:jc w:val="both"/>
        <w:rPr>
          <w:rFonts w:ascii="Times New Roman" w:hAnsi="Times New Roman" w:cs="Times New Roman"/>
          <w:sz w:val="24"/>
          <w:szCs w:val="24"/>
          <w:lang w:val="es-ES_tradnl"/>
        </w:rPr>
      </w:pPr>
    </w:p>
    <w:p w14:paraId="3A52C225" w14:textId="77777777" w:rsidR="00B55157" w:rsidRPr="00B55157" w:rsidRDefault="00B55157" w:rsidP="00B55157">
      <w:pPr>
        <w:pStyle w:val="ListParagraph"/>
        <w:spacing w:line="360" w:lineRule="auto"/>
        <w:jc w:val="both"/>
        <w:rPr>
          <w:rFonts w:ascii="Times New Roman" w:hAnsi="Times New Roman" w:cs="Times New Roman"/>
          <w:sz w:val="24"/>
          <w:szCs w:val="24"/>
          <w:lang w:val="es-ES"/>
        </w:rPr>
      </w:pPr>
    </w:p>
    <w:p w14:paraId="1C3C9BB4" w14:textId="77777777" w:rsidR="00647E84" w:rsidRPr="00B55157" w:rsidRDefault="00647E84" w:rsidP="00647E84">
      <w:pPr>
        <w:spacing w:line="360" w:lineRule="auto"/>
        <w:ind w:left="360"/>
        <w:jc w:val="both"/>
        <w:rPr>
          <w:rFonts w:ascii="Times New Roman" w:hAnsi="Times New Roman" w:cs="Times New Roman"/>
          <w:sz w:val="24"/>
          <w:szCs w:val="24"/>
          <w:lang w:val="es-ES"/>
        </w:rPr>
      </w:pPr>
    </w:p>
    <w:sectPr w:rsidR="00647E84" w:rsidRPr="00B55157" w:rsidSect="00647E84">
      <w:pgSz w:w="12240" w:h="20160" w:code="5"/>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A49F" w14:textId="77777777" w:rsidR="006D6CA9" w:rsidRDefault="006D6CA9" w:rsidP="00B55157">
      <w:pPr>
        <w:spacing w:after="0" w:line="240" w:lineRule="auto"/>
      </w:pPr>
      <w:r>
        <w:separator/>
      </w:r>
    </w:p>
  </w:endnote>
  <w:endnote w:type="continuationSeparator" w:id="0">
    <w:p w14:paraId="1AAC4451" w14:textId="77777777" w:rsidR="006D6CA9" w:rsidRDefault="006D6CA9" w:rsidP="00B5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ヒラギノ角ゴ Pro W3">
    <w:altName w:val="Arial Unicode MS"/>
    <w:charset w:val="4E"/>
    <w:family w:val="auto"/>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B8673" w14:textId="77777777" w:rsidR="006D6CA9" w:rsidRDefault="006D6CA9" w:rsidP="00B55157">
      <w:pPr>
        <w:spacing w:after="0" w:line="240" w:lineRule="auto"/>
      </w:pPr>
      <w:r>
        <w:separator/>
      </w:r>
    </w:p>
  </w:footnote>
  <w:footnote w:type="continuationSeparator" w:id="0">
    <w:p w14:paraId="5DD23D3D" w14:textId="77777777" w:rsidR="006D6CA9" w:rsidRDefault="006D6CA9" w:rsidP="00B55157">
      <w:pPr>
        <w:spacing w:after="0" w:line="240" w:lineRule="auto"/>
      </w:pPr>
      <w:r>
        <w:continuationSeparator/>
      </w:r>
    </w:p>
  </w:footnote>
  <w:footnote w:id="1">
    <w:p w14:paraId="358BF816" w14:textId="4624E0AE" w:rsidR="00B55157" w:rsidRPr="00511B07" w:rsidRDefault="00B55157" w:rsidP="00B55157">
      <w:pPr>
        <w:pStyle w:val="FootnoteText"/>
        <w:jc w:val="both"/>
        <w:rPr>
          <w:rFonts w:ascii="Times New Roman" w:hAnsi="Times New Roman" w:cs="Times New Roman"/>
          <w:lang w:val="es-PR"/>
        </w:rPr>
      </w:pPr>
      <w:r w:rsidRPr="005E5617">
        <w:rPr>
          <w:rStyle w:val="FootnoteReference"/>
          <w:rFonts w:ascii="Times New Roman" w:hAnsi="Times New Roman" w:cs="Times New Roman"/>
        </w:rPr>
        <w:footnoteRef/>
      </w:r>
      <w:r w:rsidRPr="00511B07">
        <w:rPr>
          <w:rFonts w:ascii="Times New Roman" w:hAnsi="Times New Roman" w:cs="Times New Roman"/>
          <w:lang w:val="es-PR"/>
        </w:rPr>
        <w:t xml:space="preserve"> </w:t>
      </w:r>
      <w:r w:rsidR="001A6570" w:rsidRPr="001A6570">
        <w:rPr>
          <w:rFonts w:ascii="Times New Roman" w:hAnsi="Times New Roman" w:cs="Times New Roman"/>
          <w:lang w:val="es-PR"/>
        </w:rPr>
        <w:t xml:space="preserve">C. Díaz Olivo, </w:t>
      </w:r>
      <w:r w:rsidR="001A6570" w:rsidRPr="001A6570">
        <w:rPr>
          <w:rFonts w:ascii="Times New Roman" w:hAnsi="Times New Roman" w:cs="Times New Roman"/>
          <w:u w:val="single"/>
          <w:lang w:val="es-PR"/>
        </w:rPr>
        <w:t>Litigación Civil</w:t>
      </w:r>
      <w:r w:rsidR="001A6570" w:rsidRPr="001A6570">
        <w:rPr>
          <w:rFonts w:ascii="Times New Roman" w:hAnsi="Times New Roman" w:cs="Times New Roman"/>
          <w:lang w:val="es-PR"/>
        </w:rPr>
        <w:t xml:space="preserve">, Colombia, Neo </w:t>
      </w:r>
      <w:proofErr w:type="spellStart"/>
      <w:r w:rsidR="001A6570" w:rsidRPr="001A6570">
        <w:rPr>
          <w:rFonts w:ascii="Times New Roman" w:hAnsi="Times New Roman" w:cs="Times New Roman"/>
          <w:lang w:val="es-PR"/>
        </w:rPr>
        <w:t>Communications</w:t>
      </w:r>
      <w:proofErr w:type="spellEnd"/>
      <w:r w:rsidR="001A6570" w:rsidRPr="001A6570">
        <w:rPr>
          <w:rFonts w:ascii="Times New Roman" w:hAnsi="Times New Roman" w:cs="Times New Roman"/>
          <w:lang w:val="es-PR"/>
        </w:rPr>
        <w:t>, 2016, p.</w:t>
      </w:r>
      <w:r w:rsidR="001A6570">
        <w:rPr>
          <w:rFonts w:ascii="Times New Roman" w:hAnsi="Times New Roman" w:cs="Times New Roman"/>
          <w:lang w:val="es-PR"/>
        </w:rPr>
        <w:t>92.</w:t>
      </w:r>
    </w:p>
  </w:footnote>
  <w:footnote w:id="2">
    <w:p w14:paraId="55B93B35" w14:textId="77777777" w:rsidR="00B55157" w:rsidRPr="005E5617" w:rsidRDefault="00B55157" w:rsidP="00B55157">
      <w:pPr>
        <w:pStyle w:val="FootnoteText"/>
        <w:jc w:val="both"/>
        <w:rPr>
          <w:rFonts w:ascii="Times New Roman" w:hAnsi="Times New Roman" w:cs="Times New Roman"/>
          <w:lang w:val="es-PR"/>
        </w:rPr>
      </w:pPr>
      <w:r w:rsidRPr="005E5617">
        <w:rPr>
          <w:rStyle w:val="FootnoteReference"/>
          <w:rFonts w:ascii="Times New Roman" w:hAnsi="Times New Roman" w:cs="Times New Roman"/>
        </w:rPr>
        <w:footnoteRef/>
      </w:r>
      <w:r w:rsidRPr="005E5617">
        <w:rPr>
          <w:rFonts w:ascii="Times New Roman" w:hAnsi="Times New Roman" w:cs="Times New Roman"/>
          <w:lang w:val="es-PR"/>
        </w:rPr>
        <w:t xml:space="preserve"> </w:t>
      </w:r>
      <w:bookmarkStart w:id="0" w:name="_Hlk121067785"/>
      <w:r w:rsidRPr="00167FD4">
        <w:rPr>
          <w:rFonts w:ascii="Times New Roman" w:hAnsi="Times New Roman" w:cs="Times New Roman"/>
          <w:i/>
          <w:iCs/>
          <w:lang w:val="es-PR"/>
        </w:rPr>
        <w:t>Ibíd</w:t>
      </w:r>
      <w:r w:rsidRPr="005E5617">
        <w:rPr>
          <w:rFonts w:ascii="Times New Roman" w:hAnsi="Times New Roman" w:cs="Times New Roman"/>
          <w:lang w:val="es-PR"/>
        </w:rPr>
        <w:t xml:space="preserve">., p.93. </w:t>
      </w:r>
      <w:bookmarkEnd w:id="0"/>
    </w:p>
  </w:footnote>
  <w:footnote w:id="3">
    <w:p w14:paraId="6EB9B291" w14:textId="24D28275" w:rsidR="00EF0CD7" w:rsidRPr="00096A51" w:rsidRDefault="00EF0CD7">
      <w:pPr>
        <w:pStyle w:val="FootnoteText"/>
        <w:rPr>
          <w:lang w:val="es-ES"/>
        </w:rPr>
      </w:pPr>
      <w:r>
        <w:rPr>
          <w:rStyle w:val="FootnoteReference"/>
        </w:rPr>
        <w:footnoteRef/>
      </w:r>
      <w:r>
        <w:t xml:space="preserve"> </w:t>
      </w:r>
      <w:r w:rsidRPr="00167FD4">
        <w:rPr>
          <w:rFonts w:ascii="Times New Roman" w:hAnsi="Times New Roman" w:cs="Times New Roman"/>
          <w:i/>
          <w:iCs/>
          <w:lang w:val="es-PR"/>
        </w:rPr>
        <w:t>Ibíd</w:t>
      </w:r>
      <w:r w:rsidRPr="005E5617">
        <w:rPr>
          <w:rFonts w:ascii="Times New Roman" w:hAnsi="Times New Roman" w:cs="Times New Roman"/>
          <w:lang w:val="es-PR"/>
        </w:rPr>
        <w:t>., p.</w:t>
      </w:r>
      <w:r>
        <w:rPr>
          <w:rFonts w:ascii="Times New Roman" w:hAnsi="Times New Roman" w:cs="Times New Roman"/>
          <w:lang w:val="es-PR"/>
        </w:rPr>
        <w:t>173.</w:t>
      </w:r>
    </w:p>
  </w:footnote>
  <w:footnote w:id="4">
    <w:p w14:paraId="0E44B7F1" w14:textId="37C23FE6" w:rsidR="00406893" w:rsidRPr="00096A51" w:rsidRDefault="00406893" w:rsidP="00096A51">
      <w:pPr>
        <w:pStyle w:val="FootnoteText"/>
        <w:jc w:val="both"/>
        <w:rPr>
          <w:rFonts w:ascii="Times New Roman" w:hAnsi="Times New Roman" w:cs="Times New Roman"/>
          <w:lang w:val="es-ES"/>
        </w:rPr>
      </w:pPr>
      <w:r w:rsidRPr="00096A51">
        <w:rPr>
          <w:rStyle w:val="FootnoteReference"/>
          <w:rFonts w:ascii="Times New Roman" w:hAnsi="Times New Roman" w:cs="Times New Roman"/>
        </w:rPr>
        <w:footnoteRef/>
      </w:r>
      <w:r w:rsidRPr="00096A51">
        <w:rPr>
          <w:rFonts w:ascii="Times New Roman" w:hAnsi="Times New Roman" w:cs="Times New Roman"/>
        </w:rPr>
        <w:t xml:space="preserve"> </w:t>
      </w:r>
      <w:r w:rsidR="00096A51" w:rsidRPr="00096A51">
        <w:rPr>
          <w:rFonts w:ascii="Times New Roman" w:hAnsi="Times New Roman" w:cs="Times New Roman"/>
          <w:i/>
          <w:iCs/>
        </w:rPr>
        <w:t>I</w:t>
      </w:r>
      <w:r w:rsidRPr="00096A51">
        <w:rPr>
          <w:rFonts w:ascii="Times New Roman" w:hAnsi="Times New Roman" w:cs="Times New Roman"/>
          <w:i/>
          <w:iCs/>
        </w:rPr>
        <w:t>bíd</w:t>
      </w:r>
      <w:r w:rsidRPr="00096A51">
        <w:rPr>
          <w:rFonts w:ascii="Times New Roman" w:hAnsi="Times New Roman" w:cs="Times New Roman"/>
        </w:rPr>
        <w:t>., p.70.</w:t>
      </w:r>
    </w:p>
  </w:footnote>
  <w:footnote w:id="5">
    <w:p w14:paraId="09B6C8C0" w14:textId="2528873E" w:rsidR="00406893" w:rsidRPr="00646577" w:rsidRDefault="00406893" w:rsidP="00406893">
      <w:pPr>
        <w:pStyle w:val="FootnoteText"/>
        <w:jc w:val="both"/>
        <w:rPr>
          <w:rFonts w:ascii="Times New Roman" w:hAnsi="Times New Roman" w:cs="Times New Roman"/>
        </w:rPr>
      </w:pPr>
      <w:r w:rsidRPr="00646577">
        <w:rPr>
          <w:rStyle w:val="FootnoteReference"/>
          <w:rFonts w:ascii="Times New Roman" w:hAnsi="Times New Roman" w:cs="Times New Roman"/>
        </w:rPr>
        <w:footnoteRef/>
      </w:r>
      <w:r>
        <w:rPr>
          <w:rFonts w:ascii="Times New Roman" w:eastAsia="Calibri" w:hAnsi="Times New Roman" w:cs="Times New Roman"/>
        </w:rPr>
        <w:t xml:space="preserve"> </w:t>
      </w:r>
      <w:r w:rsidRPr="006916A8">
        <w:rPr>
          <w:rFonts w:ascii="Times New Roman" w:hAnsi="Times New Roman" w:cs="Times New Roman"/>
          <w:lang w:val="es-PR"/>
        </w:rPr>
        <w:t xml:space="preserve">R. Hernández Colón, </w:t>
      </w:r>
      <w:r w:rsidRPr="006916A8">
        <w:rPr>
          <w:rFonts w:ascii="Times New Roman" w:hAnsi="Times New Roman" w:cs="Times New Roman"/>
          <w:i/>
          <w:iCs/>
          <w:u w:val="single"/>
          <w:lang w:val="es-PR"/>
        </w:rPr>
        <w:t>Práctica Jurídica de Puerto Rico: Derecho Procesal Civil</w:t>
      </w:r>
      <w:r w:rsidRPr="006916A8">
        <w:rPr>
          <w:rFonts w:ascii="Times New Roman" w:hAnsi="Times New Roman" w:cs="Times New Roman"/>
          <w:lang w:val="es-PR"/>
        </w:rPr>
        <w:t xml:space="preserve">, 5ta ed., San Juan, Lexis </w:t>
      </w:r>
      <w:proofErr w:type="spellStart"/>
      <w:r w:rsidRPr="006916A8">
        <w:rPr>
          <w:rFonts w:ascii="Times New Roman" w:hAnsi="Times New Roman" w:cs="Times New Roman"/>
          <w:lang w:val="es-PR"/>
        </w:rPr>
        <w:t>Nexis</w:t>
      </w:r>
      <w:proofErr w:type="spellEnd"/>
      <w:r w:rsidRPr="006916A8">
        <w:rPr>
          <w:rFonts w:ascii="Times New Roman" w:hAnsi="Times New Roman" w:cs="Times New Roman"/>
          <w:lang w:val="es-PR"/>
        </w:rPr>
        <w:t xml:space="preserve"> de Puerto Rico, Inc., 2010, p.2</w:t>
      </w:r>
      <w:r>
        <w:rPr>
          <w:rFonts w:ascii="Times New Roman" w:hAnsi="Times New Roman" w:cs="Times New Roman"/>
          <w:lang w:val="es-PR"/>
        </w:rPr>
        <w:t>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4761"/>
    <w:multiLevelType w:val="hybridMultilevel"/>
    <w:tmpl w:val="251056F4"/>
    <w:lvl w:ilvl="0" w:tplc="5C64CF06">
      <w:start w:val="1"/>
      <w:numFmt w:val="bullet"/>
      <w:lvlText w:val=""/>
      <w:lvlJc w:val="left"/>
      <w:pPr>
        <w:tabs>
          <w:tab w:val="num" w:pos="720"/>
        </w:tabs>
        <w:ind w:left="720" w:hanging="360"/>
      </w:pPr>
      <w:rPr>
        <w:rFonts w:ascii="Wingdings" w:hAnsi="Wingdings" w:hint="default"/>
      </w:rPr>
    </w:lvl>
    <w:lvl w:ilvl="1" w:tplc="BEC2BB10" w:tentative="1">
      <w:start w:val="1"/>
      <w:numFmt w:val="bullet"/>
      <w:lvlText w:val=""/>
      <w:lvlJc w:val="left"/>
      <w:pPr>
        <w:tabs>
          <w:tab w:val="num" w:pos="1440"/>
        </w:tabs>
        <w:ind w:left="1440" w:hanging="360"/>
      </w:pPr>
      <w:rPr>
        <w:rFonts w:ascii="Wingdings" w:hAnsi="Wingdings" w:hint="default"/>
      </w:rPr>
    </w:lvl>
    <w:lvl w:ilvl="2" w:tplc="0360D4F4" w:tentative="1">
      <w:start w:val="1"/>
      <w:numFmt w:val="bullet"/>
      <w:lvlText w:val=""/>
      <w:lvlJc w:val="left"/>
      <w:pPr>
        <w:tabs>
          <w:tab w:val="num" w:pos="2160"/>
        </w:tabs>
        <w:ind w:left="2160" w:hanging="360"/>
      </w:pPr>
      <w:rPr>
        <w:rFonts w:ascii="Wingdings" w:hAnsi="Wingdings" w:hint="default"/>
      </w:rPr>
    </w:lvl>
    <w:lvl w:ilvl="3" w:tplc="1A1602D6" w:tentative="1">
      <w:start w:val="1"/>
      <w:numFmt w:val="bullet"/>
      <w:lvlText w:val=""/>
      <w:lvlJc w:val="left"/>
      <w:pPr>
        <w:tabs>
          <w:tab w:val="num" w:pos="2880"/>
        </w:tabs>
        <w:ind w:left="2880" w:hanging="360"/>
      </w:pPr>
      <w:rPr>
        <w:rFonts w:ascii="Wingdings" w:hAnsi="Wingdings" w:hint="default"/>
      </w:rPr>
    </w:lvl>
    <w:lvl w:ilvl="4" w:tplc="17E8A508" w:tentative="1">
      <w:start w:val="1"/>
      <w:numFmt w:val="bullet"/>
      <w:lvlText w:val=""/>
      <w:lvlJc w:val="left"/>
      <w:pPr>
        <w:tabs>
          <w:tab w:val="num" w:pos="3600"/>
        </w:tabs>
        <w:ind w:left="3600" w:hanging="360"/>
      </w:pPr>
      <w:rPr>
        <w:rFonts w:ascii="Wingdings" w:hAnsi="Wingdings" w:hint="default"/>
      </w:rPr>
    </w:lvl>
    <w:lvl w:ilvl="5" w:tplc="D58A9088" w:tentative="1">
      <w:start w:val="1"/>
      <w:numFmt w:val="bullet"/>
      <w:lvlText w:val=""/>
      <w:lvlJc w:val="left"/>
      <w:pPr>
        <w:tabs>
          <w:tab w:val="num" w:pos="4320"/>
        </w:tabs>
        <w:ind w:left="4320" w:hanging="360"/>
      </w:pPr>
      <w:rPr>
        <w:rFonts w:ascii="Wingdings" w:hAnsi="Wingdings" w:hint="default"/>
      </w:rPr>
    </w:lvl>
    <w:lvl w:ilvl="6" w:tplc="5DEEDDCC" w:tentative="1">
      <w:start w:val="1"/>
      <w:numFmt w:val="bullet"/>
      <w:lvlText w:val=""/>
      <w:lvlJc w:val="left"/>
      <w:pPr>
        <w:tabs>
          <w:tab w:val="num" w:pos="5040"/>
        </w:tabs>
        <w:ind w:left="5040" w:hanging="360"/>
      </w:pPr>
      <w:rPr>
        <w:rFonts w:ascii="Wingdings" w:hAnsi="Wingdings" w:hint="default"/>
      </w:rPr>
    </w:lvl>
    <w:lvl w:ilvl="7" w:tplc="9B5A5826" w:tentative="1">
      <w:start w:val="1"/>
      <w:numFmt w:val="bullet"/>
      <w:lvlText w:val=""/>
      <w:lvlJc w:val="left"/>
      <w:pPr>
        <w:tabs>
          <w:tab w:val="num" w:pos="5760"/>
        </w:tabs>
        <w:ind w:left="5760" w:hanging="360"/>
      </w:pPr>
      <w:rPr>
        <w:rFonts w:ascii="Wingdings" w:hAnsi="Wingdings" w:hint="default"/>
      </w:rPr>
    </w:lvl>
    <w:lvl w:ilvl="8" w:tplc="FC6448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F70643"/>
    <w:multiLevelType w:val="hybridMultilevel"/>
    <w:tmpl w:val="F22AF5EE"/>
    <w:lvl w:ilvl="0" w:tplc="40D460CC">
      <w:start w:val="1"/>
      <w:numFmt w:val="bullet"/>
      <w:lvlText w:val=""/>
      <w:lvlJc w:val="left"/>
      <w:pPr>
        <w:tabs>
          <w:tab w:val="num" w:pos="720"/>
        </w:tabs>
        <w:ind w:left="720" w:hanging="360"/>
      </w:pPr>
      <w:rPr>
        <w:rFonts w:ascii="Wingdings" w:hAnsi="Wingdings" w:hint="default"/>
      </w:rPr>
    </w:lvl>
    <w:lvl w:ilvl="1" w:tplc="CCEC1474" w:tentative="1">
      <w:start w:val="1"/>
      <w:numFmt w:val="bullet"/>
      <w:lvlText w:val=""/>
      <w:lvlJc w:val="left"/>
      <w:pPr>
        <w:tabs>
          <w:tab w:val="num" w:pos="1440"/>
        </w:tabs>
        <w:ind w:left="1440" w:hanging="360"/>
      </w:pPr>
      <w:rPr>
        <w:rFonts w:ascii="Wingdings" w:hAnsi="Wingdings" w:hint="default"/>
      </w:rPr>
    </w:lvl>
    <w:lvl w:ilvl="2" w:tplc="04521016" w:tentative="1">
      <w:start w:val="1"/>
      <w:numFmt w:val="bullet"/>
      <w:lvlText w:val=""/>
      <w:lvlJc w:val="left"/>
      <w:pPr>
        <w:tabs>
          <w:tab w:val="num" w:pos="2160"/>
        </w:tabs>
        <w:ind w:left="2160" w:hanging="360"/>
      </w:pPr>
      <w:rPr>
        <w:rFonts w:ascii="Wingdings" w:hAnsi="Wingdings" w:hint="default"/>
      </w:rPr>
    </w:lvl>
    <w:lvl w:ilvl="3" w:tplc="9E9EAB40" w:tentative="1">
      <w:start w:val="1"/>
      <w:numFmt w:val="bullet"/>
      <w:lvlText w:val=""/>
      <w:lvlJc w:val="left"/>
      <w:pPr>
        <w:tabs>
          <w:tab w:val="num" w:pos="2880"/>
        </w:tabs>
        <w:ind w:left="2880" w:hanging="360"/>
      </w:pPr>
      <w:rPr>
        <w:rFonts w:ascii="Wingdings" w:hAnsi="Wingdings" w:hint="default"/>
      </w:rPr>
    </w:lvl>
    <w:lvl w:ilvl="4" w:tplc="5FC6A86C" w:tentative="1">
      <w:start w:val="1"/>
      <w:numFmt w:val="bullet"/>
      <w:lvlText w:val=""/>
      <w:lvlJc w:val="left"/>
      <w:pPr>
        <w:tabs>
          <w:tab w:val="num" w:pos="3600"/>
        </w:tabs>
        <w:ind w:left="3600" w:hanging="360"/>
      </w:pPr>
      <w:rPr>
        <w:rFonts w:ascii="Wingdings" w:hAnsi="Wingdings" w:hint="default"/>
      </w:rPr>
    </w:lvl>
    <w:lvl w:ilvl="5" w:tplc="A642B674" w:tentative="1">
      <w:start w:val="1"/>
      <w:numFmt w:val="bullet"/>
      <w:lvlText w:val=""/>
      <w:lvlJc w:val="left"/>
      <w:pPr>
        <w:tabs>
          <w:tab w:val="num" w:pos="4320"/>
        </w:tabs>
        <w:ind w:left="4320" w:hanging="360"/>
      </w:pPr>
      <w:rPr>
        <w:rFonts w:ascii="Wingdings" w:hAnsi="Wingdings" w:hint="default"/>
      </w:rPr>
    </w:lvl>
    <w:lvl w:ilvl="6" w:tplc="292603FC" w:tentative="1">
      <w:start w:val="1"/>
      <w:numFmt w:val="bullet"/>
      <w:lvlText w:val=""/>
      <w:lvlJc w:val="left"/>
      <w:pPr>
        <w:tabs>
          <w:tab w:val="num" w:pos="5040"/>
        </w:tabs>
        <w:ind w:left="5040" w:hanging="360"/>
      </w:pPr>
      <w:rPr>
        <w:rFonts w:ascii="Wingdings" w:hAnsi="Wingdings" w:hint="default"/>
      </w:rPr>
    </w:lvl>
    <w:lvl w:ilvl="7" w:tplc="32007106" w:tentative="1">
      <w:start w:val="1"/>
      <w:numFmt w:val="bullet"/>
      <w:lvlText w:val=""/>
      <w:lvlJc w:val="left"/>
      <w:pPr>
        <w:tabs>
          <w:tab w:val="num" w:pos="5760"/>
        </w:tabs>
        <w:ind w:left="5760" w:hanging="360"/>
      </w:pPr>
      <w:rPr>
        <w:rFonts w:ascii="Wingdings" w:hAnsi="Wingdings" w:hint="default"/>
      </w:rPr>
    </w:lvl>
    <w:lvl w:ilvl="8" w:tplc="5F9A349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F23AD6"/>
    <w:multiLevelType w:val="hybridMultilevel"/>
    <w:tmpl w:val="CC2A024A"/>
    <w:lvl w:ilvl="0" w:tplc="09660188">
      <w:start w:val="1"/>
      <w:numFmt w:val="bullet"/>
      <w:lvlText w:val=""/>
      <w:lvlJc w:val="left"/>
      <w:pPr>
        <w:tabs>
          <w:tab w:val="num" w:pos="720"/>
        </w:tabs>
        <w:ind w:left="720" w:hanging="360"/>
      </w:pPr>
      <w:rPr>
        <w:rFonts w:ascii="Wingdings" w:hAnsi="Wingdings" w:hint="default"/>
      </w:rPr>
    </w:lvl>
    <w:lvl w:ilvl="1" w:tplc="132A9C0E" w:tentative="1">
      <w:start w:val="1"/>
      <w:numFmt w:val="bullet"/>
      <w:lvlText w:val=""/>
      <w:lvlJc w:val="left"/>
      <w:pPr>
        <w:tabs>
          <w:tab w:val="num" w:pos="1440"/>
        </w:tabs>
        <w:ind w:left="1440" w:hanging="360"/>
      </w:pPr>
      <w:rPr>
        <w:rFonts w:ascii="Wingdings" w:hAnsi="Wingdings" w:hint="default"/>
      </w:rPr>
    </w:lvl>
    <w:lvl w:ilvl="2" w:tplc="49FA8E0C" w:tentative="1">
      <w:start w:val="1"/>
      <w:numFmt w:val="bullet"/>
      <w:lvlText w:val=""/>
      <w:lvlJc w:val="left"/>
      <w:pPr>
        <w:tabs>
          <w:tab w:val="num" w:pos="2160"/>
        </w:tabs>
        <w:ind w:left="2160" w:hanging="360"/>
      </w:pPr>
      <w:rPr>
        <w:rFonts w:ascii="Wingdings" w:hAnsi="Wingdings" w:hint="default"/>
      </w:rPr>
    </w:lvl>
    <w:lvl w:ilvl="3" w:tplc="CE9A8FE8" w:tentative="1">
      <w:start w:val="1"/>
      <w:numFmt w:val="bullet"/>
      <w:lvlText w:val=""/>
      <w:lvlJc w:val="left"/>
      <w:pPr>
        <w:tabs>
          <w:tab w:val="num" w:pos="2880"/>
        </w:tabs>
        <w:ind w:left="2880" w:hanging="360"/>
      </w:pPr>
      <w:rPr>
        <w:rFonts w:ascii="Wingdings" w:hAnsi="Wingdings" w:hint="default"/>
      </w:rPr>
    </w:lvl>
    <w:lvl w:ilvl="4" w:tplc="196A5970" w:tentative="1">
      <w:start w:val="1"/>
      <w:numFmt w:val="bullet"/>
      <w:lvlText w:val=""/>
      <w:lvlJc w:val="left"/>
      <w:pPr>
        <w:tabs>
          <w:tab w:val="num" w:pos="3600"/>
        </w:tabs>
        <w:ind w:left="3600" w:hanging="360"/>
      </w:pPr>
      <w:rPr>
        <w:rFonts w:ascii="Wingdings" w:hAnsi="Wingdings" w:hint="default"/>
      </w:rPr>
    </w:lvl>
    <w:lvl w:ilvl="5" w:tplc="B6EC0250" w:tentative="1">
      <w:start w:val="1"/>
      <w:numFmt w:val="bullet"/>
      <w:lvlText w:val=""/>
      <w:lvlJc w:val="left"/>
      <w:pPr>
        <w:tabs>
          <w:tab w:val="num" w:pos="4320"/>
        </w:tabs>
        <w:ind w:left="4320" w:hanging="360"/>
      </w:pPr>
      <w:rPr>
        <w:rFonts w:ascii="Wingdings" w:hAnsi="Wingdings" w:hint="default"/>
      </w:rPr>
    </w:lvl>
    <w:lvl w:ilvl="6" w:tplc="287470E4" w:tentative="1">
      <w:start w:val="1"/>
      <w:numFmt w:val="bullet"/>
      <w:lvlText w:val=""/>
      <w:lvlJc w:val="left"/>
      <w:pPr>
        <w:tabs>
          <w:tab w:val="num" w:pos="5040"/>
        </w:tabs>
        <w:ind w:left="5040" w:hanging="360"/>
      </w:pPr>
      <w:rPr>
        <w:rFonts w:ascii="Wingdings" w:hAnsi="Wingdings" w:hint="default"/>
      </w:rPr>
    </w:lvl>
    <w:lvl w:ilvl="7" w:tplc="64F0E66A" w:tentative="1">
      <w:start w:val="1"/>
      <w:numFmt w:val="bullet"/>
      <w:lvlText w:val=""/>
      <w:lvlJc w:val="left"/>
      <w:pPr>
        <w:tabs>
          <w:tab w:val="num" w:pos="5760"/>
        </w:tabs>
        <w:ind w:left="5760" w:hanging="360"/>
      </w:pPr>
      <w:rPr>
        <w:rFonts w:ascii="Wingdings" w:hAnsi="Wingdings" w:hint="default"/>
      </w:rPr>
    </w:lvl>
    <w:lvl w:ilvl="8" w:tplc="250235E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3639E5"/>
    <w:multiLevelType w:val="hybridMultilevel"/>
    <w:tmpl w:val="6AC0DA5C"/>
    <w:lvl w:ilvl="0" w:tplc="BCBAA28E">
      <w:start w:val="1"/>
      <w:numFmt w:val="bullet"/>
      <w:lvlText w:val=""/>
      <w:lvlJc w:val="left"/>
      <w:pPr>
        <w:tabs>
          <w:tab w:val="num" w:pos="720"/>
        </w:tabs>
        <w:ind w:left="720" w:hanging="360"/>
      </w:pPr>
      <w:rPr>
        <w:rFonts w:ascii="Wingdings" w:hAnsi="Wingdings" w:hint="default"/>
      </w:rPr>
    </w:lvl>
    <w:lvl w:ilvl="1" w:tplc="C0B457C6" w:tentative="1">
      <w:start w:val="1"/>
      <w:numFmt w:val="bullet"/>
      <w:lvlText w:val=""/>
      <w:lvlJc w:val="left"/>
      <w:pPr>
        <w:tabs>
          <w:tab w:val="num" w:pos="1440"/>
        </w:tabs>
        <w:ind w:left="1440" w:hanging="360"/>
      </w:pPr>
      <w:rPr>
        <w:rFonts w:ascii="Wingdings" w:hAnsi="Wingdings" w:hint="default"/>
      </w:rPr>
    </w:lvl>
    <w:lvl w:ilvl="2" w:tplc="A836B9E6" w:tentative="1">
      <w:start w:val="1"/>
      <w:numFmt w:val="bullet"/>
      <w:lvlText w:val=""/>
      <w:lvlJc w:val="left"/>
      <w:pPr>
        <w:tabs>
          <w:tab w:val="num" w:pos="2160"/>
        </w:tabs>
        <w:ind w:left="2160" w:hanging="360"/>
      </w:pPr>
      <w:rPr>
        <w:rFonts w:ascii="Wingdings" w:hAnsi="Wingdings" w:hint="default"/>
      </w:rPr>
    </w:lvl>
    <w:lvl w:ilvl="3" w:tplc="61DA8310" w:tentative="1">
      <w:start w:val="1"/>
      <w:numFmt w:val="bullet"/>
      <w:lvlText w:val=""/>
      <w:lvlJc w:val="left"/>
      <w:pPr>
        <w:tabs>
          <w:tab w:val="num" w:pos="2880"/>
        </w:tabs>
        <w:ind w:left="2880" w:hanging="360"/>
      </w:pPr>
      <w:rPr>
        <w:rFonts w:ascii="Wingdings" w:hAnsi="Wingdings" w:hint="default"/>
      </w:rPr>
    </w:lvl>
    <w:lvl w:ilvl="4" w:tplc="82CC363E" w:tentative="1">
      <w:start w:val="1"/>
      <w:numFmt w:val="bullet"/>
      <w:lvlText w:val=""/>
      <w:lvlJc w:val="left"/>
      <w:pPr>
        <w:tabs>
          <w:tab w:val="num" w:pos="3600"/>
        </w:tabs>
        <w:ind w:left="3600" w:hanging="360"/>
      </w:pPr>
      <w:rPr>
        <w:rFonts w:ascii="Wingdings" w:hAnsi="Wingdings" w:hint="default"/>
      </w:rPr>
    </w:lvl>
    <w:lvl w:ilvl="5" w:tplc="4626A9E6" w:tentative="1">
      <w:start w:val="1"/>
      <w:numFmt w:val="bullet"/>
      <w:lvlText w:val=""/>
      <w:lvlJc w:val="left"/>
      <w:pPr>
        <w:tabs>
          <w:tab w:val="num" w:pos="4320"/>
        </w:tabs>
        <w:ind w:left="4320" w:hanging="360"/>
      </w:pPr>
      <w:rPr>
        <w:rFonts w:ascii="Wingdings" w:hAnsi="Wingdings" w:hint="default"/>
      </w:rPr>
    </w:lvl>
    <w:lvl w:ilvl="6" w:tplc="624A2BB4" w:tentative="1">
      <w:start w:val="1"/>
      <w:numFmt w:val="bullet"/>
      <w:lvlText w:val=""/>
      <w:lvlJc w:val="left"/>
      <w:pPr>
        <w:tabs>
          <w:tab w:val="num" w:pos="5040"/>
        </w:tabs>
        <w:ind w:left="5040" w:hanging="360"/>
      </w:pPr>
      <w:rPr>
        <w:rFonts w:ascii="Wingdings" w:hAnsi="Wingdings" w:hint="default"/>
      </w:rPr>
    </w:lvl>
    <w:lvl w:ilvl="7" w:tplc="115E8CB4" w:tentative="1">
      <w:start w:val="1"/>
      <w:numFmt w:val="bullet"/>
      <w:lvlText w:val=""/>
      <w:lvlJc w:val="left"/>
      <w:pPr>
        <w:tabs>
          <w:tab w:val="num" w:pos="5760"/>
        </w:tabs>
        <w:ind w:left="5760" w:hanging="360"/>
      </w:pPr>
      <w:rPr>
        <w:rFonts w:ascii="Wingdings" w:hAnsi="Wingdings" w:hint="default"/>
      </w:rPr>
    </w:lvl>
    <w:lvl w:ilvl="8" w:tplc="6DB435D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F72634"/>
    <w:multiLevelType w:val="hybridMultilevel"/>
    <w:tmpl w:val="82545916"/>
    <w:lvl w:ilvl="0" w:tplc="FE7C5D7E">
      <w:start w:val="1"/>
      <w:numFmt w:val="bullet"/>
      <w:lvlText w:val=""/>
      <w:lvlJc w:val="left"/>
      <w:pPr>
        <w:tabs>
          <w:tab w:val="num" w:pos="720"/>
        </w:tabs>
        <w:ind w:left="720" w:hanging="360"/>
      </w:pPr>
      <w:rPr>
        <w:rFonts w:ascii="Wingdings" w:hAnsi="Wingdings" w:hint="default"/>
      </w:rPr>
    </w:lvl>
    <w:lvl w:ilvl="1" w:tplc="01A42C70" w:tentative="1">
      <w:start w:val="1"/>
      <w:numFmt w:val="bullet"/>
      <w:lvlText w:val=""/>
      <w:lvlJc w:val="left"/>
      <w:pPr>
        <w:tabs>
          <w:tab w:val="num" w:pos="1440"/>
        </w:tabs>
        <w:ind w:left="1440" w:hanging="360"/>
      </w:pPr>
      <w:rPr>
        <w:rFonts w:ascii="Wingdings" w:hAnsi="Wingdings" w:hint="default"/>
      </w:rPr>
    </w:lvl>
    <w:lvl w:ilvl="2" w:tplc="53B23DE0" w:tentative="1">
      <w:start w:val="1"/>
      <w:numFmt w:val="bullet"/>
      <w:lvlText w:val=""/>
      <w:lvlJc w:val="left"/>
      <w:pPr>
        <w:tabs>
          <w:tab w:val="num" w:pos="2160"/>
        </w:tabs>
        <w:ind w:left="2160" w:hanging="360"/>
      </w:pPr>
      <w:rPr>
        <w:rFonts w:ascii="Wingdings" w:hAnsi="Wingdings" w:hint="default"/>
      </w:rPr>
    </w:lvl>
    <w:lvl w:ilvl="3" w:tplc="363292F2" w:tentative="1">
      <w:start w:val="1"/>
      <w:numFmt w:val="bullet"/>
      <w:lvlText w:val=""/>
      <w:lvlJc w:val="left"/>
      <w:pPr>
        <w:tabs>
          <w:tab w:val="num" w:pos="2880"/>
        </w:tabs>
        <w:ind w:left="2880" w:hanging="360"/>
      </w:pPr>
      <w:rPr>
        <w:rFonts w:ascii="Wingdings" w:hAnsi="Wingdings" w:hint="default"/>
      </w:rPr>
    </w:lvl>
    <w:lvl w:ilvl="4" w:tplc="F2565426" w:tentative="1">
      <w:start w:val="1"/>
      <w:numFmt w:val="bullet"/>
      <w:lvlText w:val=""/>
      <w:lvlJc w:val="left"/>
      <w:pPr>
        <w:tabs>
          <w:tab w:val="num" w:pos="3600"/>
        </w:tabs>
        <w:ind w:left="3600" w:hanging="360"/>
      </w:pPr>
      <w:rPr>
        <w:rFonts w:ascii="Wingdings" w:hAnsi="Wingdings" w:hint="default"/>
      </w:rPr>
    </w:lvl>
    <w:lvl w:ilvl="5" w:tplc="D1C4F3A4" w:tentative="1">
      <w:start w:val="1"/>
      <w:numFmt w:val="bullet"/>
      <w:lvlText w:val=""/>
      <w:lvlJc w:val="left"/>
      <w:pPr>
        <w:tabs>
          <w:tab w:val="num" w:pos="4320"/>
        </w:tabs>
        <w:ind w:left="4320" w:hanging="360"/>
      </w:pPr>
      <w:rPr>
        <w:rFonts w:ascii="Wingdings" w:hAnsi="Wingdings" w:hint="default"/>
      </w:rPr>
    </w:lvl>
    <w:lvl w:ilvl="6" w:tplc="868ABE26" w:tentative="1">
      <w:start w:val="1"/>
      <w:numFmt w:val="bullet"/>
      <w:lvlText w:val=""/>
      <w:lvlJc w:val="left"/>
      <w:pPr>
        <w:tabs>
          <w:tab w:val="num" w:pos="5040"/>
        </w:tabs>
        <w:ind w:left="5040" w:hanging="360"/>
      </w:pPr>
      <w:rPr>
        <w:rFonts w:ascii="Wingdings" w:hAnsi="Wingdings" w:hint="default"/>
      </w:rPr>
    </w:lvl>
    <w:lvl w:ilvl="7" w:tplc="3B626BBC" w:tentative="1">
      <w:start w:val="1"/>
      <w:numFmt w:val="bullet"/>
      <w:lvlText w:val=""/>
      <w:lvlJc w:val="left"/>
      <w:pPr>
        <w:tabs>
          <w:tab w:val="num" w:pos="5760"/>
        </w:tabs>
        <w:ind w:left="5760" w:hanging="360"/>
      </w:pPr>
      <w:rPr>
        <w:rFonts w:ascii="Wingdings" w:hAnsi="Wingdings" w:hint="default"/>
      </w:rPr>
    </w:lvl>
    <w:lvl w:ilvl="8" w:tplc="A3242CB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DD70A4"/>
    <w:multiLevelType w:val="hybridMultilevel"/>
    <w:tmpl w:val="122ED828"/>
    <w:lvl w:ilvl="0" w:tplc="2A5ECB18">
      <w:start w:val="1"/>
      <w:numFmt w:val="bullet"/>
      <w:lvlText w:val=""/>
      <w:lvlJc w:val="left"/>
      <w:pPr>
        <w:tabs>
          <w:tab w:val="num" w:pos="720"/>
        </w:tabs>
        <w:ind w:left="720" w:hanging="360"/>
      </w:pPr>
      <w:rPr>
        <w:rFonts w:ascii="Wingdings" w:hAnsi="Wingdings" w:hint="default"/>
      </w:rPr>
    </w:lvl>
    <w:lvl w:ilvl="1" w:tplc="D6BC670E" w:tentative="1">
      <w:start w:val="1"/>
      <w:numFmt w:val="bullet"/>
      <w:lvlText w:val=""/>
      <w:lvlJc w:val="left"/>
      <w:pPr>
        <w:tabs>
          <w:tab w:val="num" w:pos="1440"/>
        </w:tabs>
        <w:ind w:left="1440" w:hanging="360"/>
      </w:pPr>
      <w:rPr>
        <w:rFonts w:ascii="Wingdings" w:hAnsi="Wingdings" w:hint="default"/>
      </w:rPr>
    </w:lvl>
    <w:lvl w:ilvl="2" w:tplc="01D832BE" w:tentative="1">
      <w:start w:val="1"/>
      <w:numFmt w:val="bullet"/>
      <w:lvlText w:val=""/>
      <w:lvlJc w:val="left"/>
      <w:pPr>
        <w:tabs>
          <w:tab w:val="num" w:pos="2160"/>
        </w:tabs>
        <w:ind w:left="2160" w:hanging="360"/>
      </w:pPr>
      <w:rPr>
        <w:rFonts w:ascii="Wingdings" w:hAnsi="Wingdings" w:hint="default"/>
      </w:rPr>
    </w:lvl>
    <w:lvl w:ilvl="3" w:tplc="04AED0E0" w:tentative="1">
      <w:start w:val="1"/>
      <w:numFmt w:val="bullet"/>
      <w:lvlText w:val=""/>
      <w:lvlJc w:val="left"/>
      <w:pPr>
        <w:tabs>
          <w:tab w:val="num" w:pos="2880"/>
        </w:tabs>
        <w:ind w:left="2880" w:hanging="360"/>
      </w:pPr>
      <w:rPr>
        <w:rFonts w:ascii="Wingdings" w:hAnsi="Wingdings" w:hint="default"/>
      </w:rPr>
    </w:lvl>
    <w:lvl w:ilvl="4" w:tplc="E1146A3E" w:tentative="1">
      <w:start w:val="1"/>
      <w:numFmt w:val="bullet"/>
      <w:lvlText w:val=""/>
      <w:lvlJc w:val="left"/>
      <w:pPr>
        <w:tabs>
          <w:tab w:val="num" w:pos="3600"/>
        </w:tabs>
        <w:ind w:left="3600" w:hanging="360"/>
      </w:pPr>
      <w:rPr>
        <w:rFonts w:ascii="Wingdings" w:hAnsi="Wingdings" w:hint="default"/>
      </w:rPr>
    </w:lvl>
    <w:lvl w:ilvl="5" w:tplc="44D2A1CC" w:tentative="1">
      <w:start w:val="1"/>
      <w:numFmt w:val="bullet"/>
      <w:lvlText w:val=""/>
      <w:lvlJc w:val="left"/>
      <w:pPr>
        <w:tabs>
          <w:tab w:val="num" w:pos="4320"/>
        </w:tabs>
        <w:ind w:left="4320" w:hanging="360"/>
      </w:pPr>
      <w:rPr>
        <w:rFonts w:ascii="Wingdings" w:hAnsi="Wingdings" w:hint="default"/>
      </w:rPr>
    </w:lvl>
    <w:lvl w:ilvl="6" w:tplc="AB184F16" w:tentative="1">
      <w:start w:val="1"/>
      <w:numFmt w:val="bullet"/>
      <w:lvlText w:val=""/>
      <w:lvlJc w:val="left"/>
      <w:pPr>
        <w:tabs>
          <w:tab w:val="num" w:pos="5040"/>
        </w:tabs>
        <w:ind w:left="5040" w:hanging="360"/>
      </w:pPr>
      <w:rPr>
        <w:rFonts w:ascii="Wingdings" w:hAnsi="Wingdings" w:hint="default"/>
      </w:rPr>
    </w:lvl>
    <w:lvl w:ilvl="7" w:tplc="7F7E94D2" w:tentative="1">
      <w:start w:val="1"/>
      <w:numFmt w:val="bullet"/>
      <w:lvlText w:val=""/>
      <w:lvlJc w:val="left"/>
      <w:pPr>
        <w:tabs>
          <w:tab w:val="num" w:pos="5760"/>
        </w:tabs>
        <w:ind w:left="5760" w:hanging="360"/>
      </w:pPr>
      <w:rPr>
        <w:rFonts w:ascii="Wingdings" w:hAnsi="Wingdings" w:hint="default"/>
      </w:rPr>
    </w:lvl>
    <w:lvl w:ilvl="8" w:tplc="BA32A5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902FCB"/>
    <w:multiLevelType w:val="hybridMultilevel"/>
    <w:tmpl w:val="69509096"/>
    <w:lvl w:ilvl="0" w:tplc="32728706">
      <w:start w:val="1"/>
      <w:numFmt w:val="bullet"/>
      <w:lvlText w:val=""/>
      <w:lvlJc w:val="left"/>
      <w:pPr>
        <w:tabs>
          <w:tab w:val="num" w:pos="720"/>
        </w:tabs>
        <w:ind w:left="720" w:hanging="360"/>
      </w:pPr>
      <w:rPr>
        <w:rFonts w:ascii="Wingdings" w:hAnsi="Wingdings" w:hint="default"/>
      </w:rPr>
    </w:lvl>
    <w:lvl w:ilvl="1" w:tplc="58984F4E" w:tentative="1">
      <w:start w:val="1"/>
      <w:numFmt w:val="bullet"/>
      <w:lvlText w:val=""/>
      <w:lvlJc w:val="left"/>
      <w:pPr>
        <w:tabs>
          <w:tab w:val="num" w:pos="1440"/>
        </w:tabs>
        <w:ind w:left="1440" w:hanging="360"/>
      </w:pPr>
      <w:rPr>
        <w:rFonts w:ascii="Wingdings" w:hAnsi="Wingdings" w:hint="default"/>
      </w:rPr>
    </w:lvl>
    <w:lvl w:ilvl="2" w:tplc="DB1C6A12" w:tentative="1">
      <w:start w:val="1"/>
      <w:numFmt w:val="bullet"/>
      <w:lvlText w:val=""/>
      <w:lvlJc w:val="left"/>
      <w:pPr>
        <w:tabs>
          <w:tab w:val="num" w:pos="2160"/>
        </w:tabs>
        <w:ind w:left="2160" w:hanging="360"/>
      </w:pPr>
      <w:rPr>
        <w:rFonts w:ascii="Wingdings" w:hAnsi="Wingdings" w:hint="default"/>
      </w:rPr>
    </w:lvl>
    <w:lvl w:ilvl="3" w:tplc="A9107882" w:tentative="1">
      <w:start w:val="1"/>
      <w:numFmt w:val="bullet"/>
      <w:lvlText w:val=""/>
      <w:lvlJc w:val="left"/>
      <w:pPr>
        <w:tabs>
          <w:tab w:val="num" w:pos="2880"/>
        </w:tabs>
        <w:ind w:left="2880" w:hanging="360"/>
      </w:pPr>
      <w:rPr>
        <w:rFonts w:ascii="Wingdings" w:hAnsi="Wingdings" w:hint="default"/>
      </w:rPr>
    </w:lvl>
    <w:lvl w:ilvl="4" w:tplc="A6E8C2D8" w:tentative="1">
      <w:start w:val="1"/>
      <w:numFmt w:val="bullet"/>
      <w:lvlText w:val=""/>
      <w:lvlJc w:val="left"/>
      <w:pPr>
        <w:tabs>
          <w:tab w:val="num" w:pos="3600"/>
        </w:tabs>
        <w:ind w:left="3600" w:hanging="360"/>
      </w:pPr>
      <w:rPr>
        <w:rFonts w:ascii="Wingdings" w:hAnsi="Wingdings" w:hint="default"/>
      </w:rPr>
    </w:lvl>
    <w:lvl w:ilvl="5" w:tplc="8C146C7E" w:tentative="1">
      <w:start w:val="1"/>
      <w:numFmt w:val="bullet"/>
      <w:lvlText w:val=""/>
      <w:lvlJc w:val="left"/>
      <w:pPr>
        <w:tabs>
          <w:tab w:val="num" w:pos="4320"/>
        </w:tabs>
        <w:ind w:left="4320" w:hanging="360"/>
      </w:pPr>
      <w:rPr>
        <w:rFonts w:ascii="Wingdings" w:hAnsi="Wingdings" w:hint="default"/>
      </w:rPr>
    </w:lvl>
    <w:lvl w:ilvl="6" w:tplc="9C9C9690" w:tentative="1">
      <w:start w:val="1"/>
      <w:numFmt w:val="bullet"/>
      <w:lvlText w:val=""/>
      <w:lvlJc w:val="left"/>
      <w:pPr>
        <w:tabs>
          <w:tab w:val="num" w:pos="5040"/>
        </w:tabs>
        <w:ind w:left="5040" w:hanging="360"/>
      </w:pPr>
      <w:rPr>
        <w:rFonts w:ascii="Wingdings" w:hAnsi="Wingdings" w:hint="default"/>
      </w:rPr>
    </w:lvl>
    <w:lvl w:ilvl="7" w:tplc="922C4D5E" w:tentative="1">
      <w:start w:val="1"/>
      <w:numFmt w:val="bullet"/>
      <w:lvlText w:val=""/>
      <w:lvlJc w:val="left"/>
      <w:pPr>
        <w:tabs>
          <w:tab w:val="num" w:pos="5760"/>
        </w:tabs>
        <w:ind w:left="5760" w:hanging="360"/>
      </w:pPr>
      <w:rPr>
        <w:rFonts w:ascii="Wingdings" w:hAnsi="Wingdings" w:hint="default"/>
      </w:rPr>
    </w:lvl>
    <w:lvl w:ilvl="8" w:tplc="86AAB42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D23E6D"/>
    <w:multiLevelType w:val="hybridMultilevel"/>
    <w:tmpl w:val="3A8C8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370FF1"/>
    <w:multiLevelType w:val="hybridMultilevel"/>
    <w:tmpl w:val="A3C06D16"/>
    <w:lvl w:ilvl="0" w:tplc="5E460262">
      <w:start w:val="1"/>
      <w:numFmt w:val="bullet"/>
      <w:lvlText w:val=""/>
      <w:lvlJc w:val="left"/>
      <w:pPr>
        <w:tabs>
          <w:tab w:val="num" w:pos="720"/>
        </w:tabs>
        <w:ind w:left="720" w:hanging="360"/>
      </w:pPr>
      <w:rPr>
        <w:rFonts w:ascii="Wingdings" w:hAnsi="Wingdings" w:hint="default"/>
      </w:rPr>
    </w:lvl>
    <w:lvl w:ilvl="1" w:tplc="C4EADE8A">
      <w:numFmt w:val="bullet"/>
      <w:lvlText w:val=""/>
      <w:lvlJc w:val="left"/>
      <w:pPr>
        <w:tabs>
          <w:tab w:val="num" w:pos="1440"/>
        </w:tabs>
        <w:ind w:left="1440" w:hanging="360"/>
      </w:pPr>
      <w:rPr>
        <w:rFonts w:ascii="Wingdings" w:hAnsi="Wingdings" w:hint="default"/>
      </w:rPr>
    </w:lvl>
    <w:lvl w:ilvl="2" w:tplc="170A23BE" w:tentative="1">
      <w:start w:val="1"/>
      <w:numFmt w:val="bullet"/>
      <w:lvlText w:val=""/>
      <w:lvlJc w:val="left"/>
      <w:pPr>
        <w:tabs>
          <w:tab w:val="num" w:pos="2160"/>
        </w:tabs>
        <w:ind w:left="2160" w:hanging="360"/>
      </w:pPr>
      <w:rPr>
        <w:rFonts w:ascii="Wingdings" w:hAnsi="Wingdings" w:hint="default"/>
      </w:rPr>
    </w:lvl>
    <w:lvl w:ilvl="3" w:tplc="92007BE0" w:tentative="1">
      <w:start w:val="1"/>
      <w:numFmt w:val="bullet"/>
      <w:lvlText w:val=""/>
      <w:lvlJc w:val="left"/>
      <w:pPr>
        <w:tabs>
          <w:tab w:val="num" w:pos="2880"/>
        </w:tabs>
        <w:ind w:left="2880" w:hanging="360"/>
      </w:pPr>
      <w:rPr>
        <w:rFonts w:ascii="Wingdings" w:hAnsi="Wingdings" w:hint="default"/>
      </w:rPr>
    </w:lvl>
    <w:lvl w:ilvl="4" w:tplc="D2CC6DF2" w:tentative="1">
      <w:start w:val="1"/>
      <w:numFmt w:val="bullet"/>
      <w:lvlText w:val=""/>
      <w:lvlJc w:val="left"/>
      <w:pPr>
        <w:tabs>
          <w:tab w:val="num" w:pos="3600"/>
        </w:tabs>
        <w:ind w:left="3600" w:hanging="360"/>
      </w:pPr>
      <w:rPr>
        <w:rFonts w:ascii="Wingdings" w:hAnsi="Wingdings" w:hint="default"/>
      </w:rPr>
    </w:lvl>
    <w:lvl w:ilvl="5" w:tplc="79A05870" w:tentative="1">
      <w:start w:val="1"/>
      <w:numFmt w:val="bullet"/>
      <w:lvlText w:val=""/>
      <w:lvlJc w:val="left"/>
      <w:pPr>
        <w:tabs>
          <w:tab w:val="num" w:pos="4320"/>
        </w:tabs>
        <w:ind w:left="4320" w:hanging="360"/>
      </w:pPr>
      <w:rPr>
        <w:rFonts w:ascii="Wingdings" w:hAnsi="Wingdings" w:hint="default"/>
      </w:rPr>
    </w:lvl>
    <w:lvl w:ilvl="6" w:tplc="3904CF40" w:tentative="1">
      <w:start w:val="1"/>
      <w:numFmt w:val="bullet"/>
      <w:lvlText w:val=""/>
      <w:lvlJc w:val="left"/>
      <w:pPr>
        <w:tabs>
          <w:tab w:val="num" w:pos="5040"/>
        </w:tabs>
        <w:ind w:left="5040" w:hanging="360"/>
      </w:pPr>
      <w:rPr>
        <w:rFonts w:ascii="Wingdings" w:hAnsi="Wingdings" w:hint="default"/>
      </w:rPr>
    </w:lvl>
    <w:lvl w:ilvl="7" w:tplc="5088F96E" w:tentative="1">
      <w:start w:val="1"/>
      <w:numFmt w:val="bullet"/>
      <w:lvlText w:val=""/>
      <w:lvlJc w:val="left"/>
      <w:pPr>
        <w:tabs>
          <w:tab w:val="num" w:pos="5760"/>
        </w:tabs>
        <w:ind w:left="5760" w:hanging="360"/>
      </w:pPr>
      <w:rPr>
        <w:rFonts w:ascii="Wingdings" w:hAnsi="Wingdings" w:hint="default"/>
      </w:rPr>
    </w:lvl>
    <w:lvl w:ilvl="8" w:tplc="7428BF8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3D4968"/>
    <w:multiLevelType w:val="hybridMultilevel"/>
    <w:tmpl w:val="A31A97DE"/>
    <w:lvl w:ilvl="0" w:tplc="428E9F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B423F9"/>
    <w:multiLevelType w:val="hybridMultilevel"/>
    <w:tmpl w:val="A0848A8C"/>
    <w:lvl w:ilvl="0" w:tplc="917CE62E">
      <w:start w:val="1"/>
      <w:numFmt w:val="bullet"/>
      <w:lvlText w:val=""/>
      <w:lvlJc w:val="left"/>
      <w:pPr>
        <w:tabs>
          <w:tab w:val="num" w:pos="720"/>
        </w:tabs>
        <w:ind w:left="720" w:hanging="360"/>
      </w:pPr>
      <w:rPr>
        <w:rFonts w:ascii="Wingdings" w:hAnsi="Wingdings" w:hint="default"/>
      </w:rPr>
    </w:lvl>
    <w:lvl w:ilvl="1" w:tplc="087CD32E" w:tentative="1">
      <w:start w:val="1"/>
      <w:numFmt w:val="bullet"/>
      <w:lvlText w:val=""/>
      <w:lvlJc w:val="left"/>
      <w:pPr>
        <w:tabs>
          <w:tab w:val="num" w:pos="1440"/>
        </w:tabs>
        <w:ind w:left="1440" w:hanging="360"/>
      </w:pPr>
      <w:rPr>
        <w:rFonts w:ascii="Wingdings" w:hAnsi="Wingdings" w:hint="default"/>
      </w:rPr>
    </w:lvl>
    <w:lvl w:ilvl="2" w:tplc="29AE3D50" w:tentative="1">
      <w:start w:val="1"/>
      <w:numFmt w:val="bullet"/>
      <w:lvlText w:val=""/>
      <w:lvlJc w:val="left"/>
      <w:pPr>
        <w:tabs>
          <w:tab w:val="num" w:pos="2160"/>
        </w:tabs>
        <w:ind w:left="2160" w:hanging="360"/>
      </w:pPr>
      <w:rPr>
        <w:rFonts w:ascii="Wingdings" w:hAnsi="Wingdings" w:hint="default"/>
      </w:rPr>
    </w:lvl>
    <w:lvl w:ilvl="3" w:tplc="729C6FC4" w:tentative="1">
      <w:start w:val="1"/>
      <w:numFmt w:val="bullet"/>
      <w:lvlText w:val=""/>
      <w:lvlJc w:val="left"/>
      <w:pPr>
        <w:tabs>
          <w:tab w:val="num" w:pos="2880"/>
        </w:tabs>
        <w:ind w:left="2880" w:hanging="360"/>
      </w:pPr>
      <w:rPr>
        <w:rFonts w:ascii="Wingdings" w:hAnsi="Wingdings" w:hint="default"/>
      </w:rPr>
    </w:lvl>
    <w:lvl w:ilvl="4" w:tplc="44DCFA34" w:tentative="1">
      <w:start w:val="1"/>
      <w:numFmt w:val="bullet"/>
      <w:lvlText w:val=""/>
      <w:lvlJc w:val="left"/>
      <w:pPr>
        <w:tabs>
          <w:tab w:val="num" w:pos="3600"/>
        </w:tabs>
        <w:ind w:left="3600" w:hanging="360"/>
      </w:pPr>
      <w:rPr>
        <w:rFonts w:ascii="Wingdings" w:hAnsi="Wingdings" w:hint="default"/>
      </w:rPr>
    </w:lvl>
    <w:lvl w:ilvl="5" w:tplc="5F2CB146" w:tentative="1">
      <w:start w:val="1"/>
      <w:numFmt w:val="bullet"/>
      <w:lvlText w:val=""/>
      <w:lvlJc w:val="left"/>
      <w:pPr>
        <w:tabs>
          <w:tab w:val="num" w:pos="4320"/>
        </w:tabs>
        <w:ind w:left="4320" w:hanging="360"/>
      </w:pPr>
      <w:rPr>
        <w:rFonts w:ascii="Wingdings" w:hAnsi="Wingdings" w:hint="default"/>
      </w:rPr>
    </w:lvl>
    <w:lvl w:ilvl="6" w:tplc="63807CC0" w:tentative="1">
      <w:start w:val="1"/>
      <w:numFmt w:val="bullet"/>
      <w:lvlText w:val=""/>
      <w:lvlJc w:val="left"/>
      <w:pPr>
        <w:tabs>
          <w:tab w:val="num" w:pos="5040"/>
        </w:tabs>
        <w:ind w:left="5040" w:hanging="360"/>
      </w:pPr>
      <w:rPr>
        <w:rFonts w:ascii="Wingdings" w:hAnsi="Wingdings" w:hint="default"/>
      </w:rPr>
    </w:lvl>
    <w:lvl w:ilvl="7" w:tplc="5AF83FD6" w:tentative="1">
      <w:start w:val="1"/>
      <w:numFmt w:val="bullet"/>
      <w:lvlText w:val=""/>
      <w:lvlJc w:val="left"/>
      <w:pPr>
        <w:tabs>
          <w:tab w:val="num" w:pos="5760"/>
        </w:tabs>
        <w:ind w:left="5760" w:hanging="360"/>
      </w:pPr>
      <w:rPr>
        <w:rFonts w:ascii="Wingdings" w:hAnsi="Wingdings" w:hint="default"/>
      </w:rPr>
    </w:lvl>
    <w:lvl w:ilvl="8" w:tplc="58A2DA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ED0B2A"/>
    <w:multiLevelType w:val="hybridMultilevel"/>
    <w:tmpl w:val="BFD62966"/>
    <w:lvl w:ilvl="0" w:tplc="3ECC9E92">
      <w:start w:val="1"/>
      <w:numFmt w:val="lowerLetter"/>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AB0D6D"/>
    <w:multiLevelType w:val="hybridMultilevel"/>
    <w:tmpl w:val="1D2683EA"/>
    <w:lvl w:ilvl="0" w:tplc="855A50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88F5584"/>
    <w:multiLevelType w:val="hybridMultilevel"/>
    <w:tmpl w:val="D8523CF2"/>
    <w:lvl w:ilvl="0" w:tplc="5F24729C">
      <w:start w:val="1"/>
      <w:numFmt w:val="bullet"/>
      <w:lvlText w:val=""/>
      <w:lvlJc w:val="left"/>
      <w:pPr>
        <w:tabs>
          <w:tab w:val="num" w:pos="720"/>
        </w:tabs>
        <w:ind w:left="720" w:hanging="360"/>
      </w:pPr>
      <w:rPr>
        <w:rFonts w:ascii="Wingdings" w:hAnsi="Wingdings" w:hint="default"/>
      </w:rPr>
    </w:lvl>
    <w:lvl w:ilvl="1" w:tplc="46C8DC8C" w:tentative="1">
      <w:start w:val="1"/>
      <w:numFmt w:val="bullet"/>
      <w:lvlText w:val=""/>
      <w:lvlJc w:val="left"/>
      <w:pPr>
        <w:tabs>
          <w:tab w:val="num" w:pos="1440"/>
        </w:tabs>
        <w:ind w:left="1440" w:hanging="360"/>
      </w:pPr>
      <w:rPr>
        <w:rFonts w:ascii="Wingdings" w:hAnsi="Wingdings" w:hint="default"/>
      </w:rPr>
    </w:lvl>
    <w:lvl w:ilvl="2" w:tplc="7F72BCCE" w:tentative="1">
      <w:start w:val="1"/>
      <w:numFmt w:val="bullet"/>
      <w:lvlText w:val=""/>
      <w:lvlJc w:val="left"/>
      <w:pPr>
        <w:tabs>
          <w:tab w:val="num" w:pos="2160"/>
        </w:tabs>
        <w:ind w:left="2160" w:hanging="360"/>
      </w:pPr>
      <w:rPr>
        <w:rFonts w:ascii="Wingdings" w:hAnsi="Wingdings" w:hint="default"/>
      </w:rPr>
    </w:lvl>
    <w:lvl w:ilvl="3" w:tplc="D08E52F4" w:tentative="1">
      <w:start w:val="1"/>
      <w:numFmt w:val="bullet"/>
      <w:lvlText w:val=""/>
      <w:lvlJc w:val="left"/>
      <w:pPr>
        <w:tabs>
          <w:tab w:val="num" w:pos="2880"/>
        </w:tabs>
        <w:ind w:left="2880" w:hanging="360"/>
      </w:pPr>
      <w:rPr>
        <w:rFonts w:ascii="Wingdings" w:hAnsi="Wingdings" w:hint="default"/>
      </w:rPr>
    </w:lvl>
    <w:lvl w:ilvl="4" w:tplc="AE3E053C" w:tentative="1">
      <w:start w:val="1"/>
      <w:numFmt w:val="bullet"/>
      <w:lvlText w:val=""/>
      <w:lvlJc w:val="left"/>
      <w:pPr>
        <w:tabs>
          <w:tab w:val="num" w:pos="3600"/>
        </w:tabs>
        <w:ind w:left="3600" w:hanging="360"/>
      </w:pPr>
      <w:rPr>
        <w:rFonts w:ascii="Wingdings" w:hAnsi="Wingdings" w:hint="default"/>
      </w:rPr>
    </w:lvl>
    <w:lvl w:ilvl="5" w:tplc="46F6B43C" w:tentative="1">
      <w:start w:val="1"/>
      <w:numFmt w:val="bullet"/>
      <w:lvlText w:val=""/>
      <w:lvlJc w:val="left"/>
      <w:pPr>
        <w:tabs>
          <w:tab w:val="num" w:pos="4320"/>
        </w:tabs>
        <w:ind w:left="4320" w:hanging="360"/>
      </w:pPr>
      <w:rPr>
        <w:rFonts w:ascii="Wingdings" w:hAnsi="Wingdings" w:hint="default"/>
      </w:rPr>
    </w:lvl>
    <w:lvl w:ilvl="6" w:tplc="1110FF56" w:tentative="1">
      <w:start w:val="1"/>
      <w:numFmt w:val="bullet"/>
      <w:lvlText w:val=""/>
      <w:lvlJc w:val="left"/>
      <w:pPr>
        <w:tabs>
          <w:tab w:val="num" w:pos="5040"/>
        </w:tabs>
        <w:ind w:left="5040" w:hanging="360"/>
      </w:pPr>
      <w:rPr>
        <w:rFonts w:ascii="Wingdings" w:hAnsi="Wingdings" w:hint="default"/>
      </w:rPr>
    </w:lvl>
    <w:lvl w:ilvl="7" w:tplc="29D42C2E" w:tentative="1">
      <w:start w:val="1"/>
      <w:numFmt w:val="bullet"/>
      <w:lvlText w:val=""/>
      <w:lvlJc w:val="left"/>
      <w:pPr>
        <w:tabs>
          <w:tab w:val="num" w:pos="5760"/>
        </w:tabs>
        <w:ind w:left="5760" w:hanging="360"/>
      </w:pPr>
      <w:rPr>
        <w:rFonts w:ascii="Wingdings" w:hAnsi="Wingdings" w:hint="default"/>
      </w:rPr>
    </w:lvl>
    <w:lvl w:ilvl="8" w:tplc="67A494E4" w:tentative="1">
      <w:start w:val="1"/>
      <w:numFmt w:val="bullet"/>
      <w:lvlText w:val=""/>
      <w:lvlJc w:val="left"/>
      <w:pPr>
        <w:tabs>
          <w:tab w:val="num" w:pos="6480"/>
        </w:tabs>
        <w:ind w:left="6480" w:hanging="360"/>
      </w:pPr>
      <w:rPr>
        <w:rFonts w:ascii="Wingdings" w:hAnsi="Wingdings" w:hint="default"/>
      </w:rPr>
    </w:lvl>
  </w:abstractNum>
  <w:num w:numId="1" w16cid:durableId="1865094012">
    <w:abstractNumId w:val="7"/>
  </w:num>
  <w:num w:numId="2" w16cid:durableId="908460246">
    <w:abstractNumId w:val="1"/>
  </w:num>
  <w:num w:numId="3" w16cid:durableId="1581599044">
    <w:abstractNumId w:val="3"/>
  </w:num>
  <w:num w:numId="4" w16cid:durableId="2017491746">
    <w:abstractNumId w:val="0"/>
  </w:num>
  <w:num w:numId="5" w16cid:durableId="495924450">
    <w:abstractNumId w:val="5"/>
  </w:num>
  <w:num w:numId="6" w16cid:durableId="1743140407">
    <w:abstractNumId w:val="11"/>
  </w:num>
  <w:num w:numId="7" w16cid:durableId="479423949">
    <w:abstractNumId w:val="10"/>
  </w:num>
  <w:num w:numId="8" w16cid:durableId="204414218">
    <w:abstractNumId w:val="9"/>
  </w:num>
  <w:num w:numId="9" w16cid:durableId="1128857992">
    <w:abstractNumId w:val="2"/>
  </w:num>
  <w:num w:numId="10" w16cid:durableId="2130778475">
    <w:abstractNumId w:val="13"/>
  </w:num>
  <w:num w:numId="11" w16cid:durableId="2035879034">
    <w:abstractNumId w:val="4"/>
  </w:num>
  <w:num w:numId="12" w16cid:durableId="1624263443">
    <w:abstractNumId w:val="8"/>
  </w:num>
  <w:num w:numId="13" w16cid:durableId="1932276626">
    <w:abstractNumId w:val="6"/>
  </w:num>
  <w:num w:numId="14" w16cid:durableId="19261832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9FA"/>
    <w:rsid w:val="00096A51"/>
    <w:rsid w:val="00147998"/>
    <w:rsid w:val="001A6570"/>
    <w:rsid w:val="0021059D"/>
    <w:rsid w:val="002A3EC7"/>
    <w:rsid w:val="00406893"/>
    <w:rsid w:val="00517DB4"/>
    <w:rsid w:val="005C0A58"/>
    <w:rsid w:val="005D2585"/>
    <w:rsid w:val="00647E84"/>
    <w:rsid w:val="006C39FA"/>
    <w:rsid w:val="006D6CA9"/>
    <w:rsid w:val="00936C81"/>
    <w:rsid w:val="00A5660C"/>
    <w:rsid w:val="00A740A0"/>
    <w:rsid w:val="00B55157"/>
    <w:rsid w:val="00BC3E2E"/>
    <w:rsid w:val="00C054FD"/>
    <w:rsid w:val="00EF0CD7"/>
    <w:rsid w:val="00F906A7"/>
    <w:rsid w:val="00F96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ED1E"/>
  <w15:chartTrackingRefBased/>
  <w15:docId w15:val="{EA56FBFD-AF3E-4533-A49D-8F35E3D8D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59D"/>
    <w:pPr>
      <w:ind w:left="720"/>
      <w:contextualSpacing/>
    </w:pPr>
  </w:style>
  <w:style w:type="paragraph" w:styleId="NormalWeb">
    <w:name w:val="Normal (Web)"/>
    <w:basedOn w:val="Normal"/>
    <w:uiPriority w:val="99"/>
    <w:semiHidden/>
    <w:unhideWhenUsed/>
    <w:rsid w:val="00B5515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B55157"/>
    <w:pPr>
      <w:spacing w:after="0" w:line="240" w:lineRule="auto"/>
    </w:pPr>
    <w:rPr>
      <w:sz w:val="20"/>
      <w:szCs w:val="20"/>
      <w:lang w:val="es-ES_tradnl"/>
    </w:rPr>
  </w:style>
  <w:style w:type="character" w:customStyle="1" w:styleId="FootnoteTextChar">
    <w:name w:val="Footnote Text Char"/>
    <w:basedOn w:val="DefaultParagraphFont"/>
    <w:link w:val="FootnoteText"/>
    <w:uiPriority w:val="99"/>
    <w:rsid w:val="00B55157"/>
    <w:rPr>
      <w:sz w:val="20"/>
      <w:szCs w:val="20"/>
      <w:lang w:val="es-ES_tradnl"/>
    </w:rPr>
  </w:style>
  <w:style w:type="character" w:styleId="FootnoteReference">
    <w:name w:val="footnote reference"/>
    <w:basedOn w:val="DefaultParagraphFont"/>
    <w:uiPriority w:val="99"/>
    <w:semiHidden/>
    <w:unhideWhenUsed/>
    <w:rsid w:val="00B551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1530">
      <w:bodyDiv w:val="1"/>
      <w:marLeft w:val="0"/>
      <w:marRight w:val="0"/>
      <w:marTop w:val="0"/>
      <w:marBottom w:val="0"/>
      <w:divBdr>
        <w:top w:val="none" w:sz="0" w:space="0" w:color="auto"/>
        <w:left w:val="none" w:sz="0" w:space="0" w:color="auto"/>
        <w:bottom w:val="none" w:sz="0" w:space="0" w:color="auto"/>
        <w:right w:val="none" w:sz="0" w:space="0" w:color="auto"/>
      </w:divBdr>
    </w:div>
    <w:div w:id="117186969">
      <w:bodyDiv w:val="1"/>
      <w:marLeft w:val="0"/>
      <w:marRight w:val="0"/>
      <w:marTop w:val="0"/>
      <w:marBottom w:val="0"/>
      <w:divBdr>
        <w:top w:val="none" w:sz="0" w:space="0" w:color="auto"/>
        <w:left w:val="none" w:sz="0" w:space="0" w:color="auto"/>
        <w:bottom w:val="none" w:sz="0" w:space="0" w:color="auto"/>
        <w:right w:val="none" w:sz="0" w:space="0" w:color="auto"/>
      </w:divBdr>
      <w:divsChild>
        <w:div w:id="1396582688">
          <w:marLeft w:val="446"/>
          <w:marRight w:val="0"/>
          <w:marTop w:val="200"/>
          <w:marBottom w:val="0"/>
          <w:divBdr>
            <w:top w:val="none" w:sz="0" w:space="0" w:color="auto"/>
            <w:left w:val="none" w:sz="0" w:space="0" w:color="auto"/>
            <w:bottom w:val="none" w:sz="0" w:space="0" w:color="auto"/>
            <w:right w:val="none" w:sz="0" w:space="0" w:color="auto"/>
          </w:divBdr>
        </w:div>
        <w:div w:id="383213500">
          <w:marLeft w:val="446"/>
          <w:marRight w:val="0"/>
          <w:marTop w:val="200"/>
          <w:marBottom w:val="0"/>
          <w:divBdr>
            <w:top w:val="none" w:sz="0" w:space="0" w:color="auto"/>
            <w:left w:val="none" w:sz="0" w:space="0" w:color="auto"/>
            <w:bottom w:val="none" w:sz="0" w:space="0" w:color="auto"/>
            <w:right w:val="none" w:sz="0" w:space="0" w:color="auto"/>
          </w:divBdr>
        </w:div>
        <w:div w:id="1774938833">
          <w:marLeft w:val="446"/>
          <w:marRight w:val="0"/>
          <w:marTop w:val="200"/>
          <w:marBottom w:val="0"/>
          <w:divBdr>
            <w:top w:val="none" w:sz="0" w:space="0" w:color="auto"/>
            <w:left w:val="none" w:sz="0" w:space="0" w:color="auto"/>
            <w:bottom w:val="none" w:sz="0" w:space="0" w:color="auto"/>
            <w:right w:val="none" w:sz="0" w:space="0" w:color="auto"/>
          </w:divBdr>
        </w:div>
        <w:div w:id="63258475">
          <w:marLeft w:val="446"/>
          <w:marRight w:val="0"/>
          <w:marTop w:val="200"/>
          <w:marBottom w:val="0"/>
          <w:divBdr>
            <w:top w:val="none" w:sz="0" w:space="0" w:color="auto"/>
            <w:left w:val="none" w:sz="0" w:space="0" w:color="auto"/>
            <w:bottom w:val="none" w:sz="0" w:space="0" w:color="auto"/>
            <w:right w:val="none" w:sz="0" w:space="0" w:color="auto"/>
          </w:divBdr>
        </w:div>
      </w:divsChild>
    </w:div>
    <w:div w:id="132913937">
      <w:bodyDiv w:val="1"/>
      <w:marLeft w:val="0"/>
      <w:marRight w:val="0"/>
      <w:marTop w:val="0"/>
      <w:marBottom w:val="0"/>
      <w:divBdr>
        <w:top w:val="none" w:sz="0" w:space="0" w:color="auto"/>
        <w:left w:val="none" w:sz="0" w:space="0" w:color="auto"/>
        <w:bottom w:val="none" w:sz="0" w:space="0" w:color="auto"/>
        <w:right w:val="none" w:sz="0" w:space="0" w:color="auto"/>
      </w:divBdr>
    </w:div>
    <w:div w:id="329872434">
      <w:bodyDiv w:val="1"/>
      <w:marLeft w:val="0"/>
      <w:marRight w:val="0"/>
      <w:marTop w:val="0"/>
      <w:marBottom w:val="0"/>
      <w:divBdr>
        <w:top w:val="none" w:sz="0" w:space="0" w:color="auto"/>
        <w:left w:val="none" w:sz="0" w:space="0" w:color="auto"/>
        <w:bottom w:val="none" w:sz="0" w:space="0" w:color="auto"/>
        <w:right w:val="none" w:sz="0" w:space="0" w:color="auto"/>
      </w:divBdr>
      <w:divsChild>
        <w:div w:id="1090808585">
          <w:marLeft w:val="446"/>
          <w:marRight w:val="0"/>
          <w:marTop w:val="200"/>
          <w:marBottom w:val="0"/>
          <w:divBdr>
            <w:top w:val="none" w:sz="0" w:space="0" w:color="auto"/>
            <w:left w:val="none" w:sz="0" w:space="0" w:color="auto"/>
            <w:bottom w:val="none" w:sz="0" w:space="0" w:color="auto"/>
            <w:right w:val="none" w:sz="0" w:space="0" w:color="auto"/>
          </w:divBdr>
        </w:div>
        <w:div w:id="457337839">
          <w:marLeft w:val="446"/>
          <w:marRight w:val="0"/>
          <w:marTop w:val="200"/>
          <w:marBottom w:val="0"/>
          <w:divBdr>
            <w:top w:val="none" w:sz="0" w:space="0" w:color="auto"/>
            <w:left w:val="none" w:sz="0" w:space="0" w:color="auto"/>
            <w:bottom w:val="none" w:sz="0" w:space="0" w:color="auto"/>
            <w:right w:val="none" w:sz="0" w:space="0" w:color="auto"/>
          </w:divBdr>
        </w:div>
        <w:div w:id="1902060858">
          <w:marLeft w:val="446"/>
          <w:marRight w:val="0"/>
          <w:marTop w:val="200"/>
          <w:marBottom w:val="0"/>
          <w:divBdr>
            <w:top w:val="none" w:sz="0" w:space="0" w:color="auto"/>
            <w:left w:val="none" w:sz="0" w:space="0" w:color="auto"/>
            <w:bottom w:val="none" w:sz="0" w:space="0" w:color="auto"/>
            <w:right w:val="none" w:sz="0" w:space="0" w:color="auto"/>
          </w:divBdr>
        </w:div>
        <w:div w:id="1443115018">
          <w:marLeft w:val="446"/>
          <w:marRight w:val="0"/>
          <w:marTop w:val="200"/>
          <w:marBottom w:val="0"/>
          <w:divBdr>
            <w:top w:val="none" w:sz="0" w:space="0" w:color="auto"/>
            <w:left w:val="none" w:sz="0" w:space="0" w:color="auto"/>
            <w:bottom w:val="none" w:sz="0" w:space="0" w:color="auto"/>
            <w:right w:val="none" w:sz="0" w:space="0" w:color="auto"/>
          </w:divBdr>
        </w:div>
        <w:div w:id="1686515770">
          <w:marLeft w:val="446"/>
          <w:marRight w:val="0"/>
          <w:marTop w:val="200"/>
          <w:marBottom w:val="0"/>
          <w:divBdr>
            <w:top w:val="none" w:sz="0" w:space="0" w:color="auto"/>
            <w:left w:val="none" w:sz="0" w:space="0" w:color="auto"/>
            <w:bottom w:val="none" w:sz="0" w:space="0" w:color="auto"/>
            <w:right w:val="none" w:sz="0" w:space="0" w:color="auto"/>
          </w:divBdr>
        </w:div>
        <w:div w:id="1180042161">
          <w:marLeft w:val="446"/>
          <w:marRight w:val="0"/>
          <w:marTop w:val="200"/>
          <w:marBottom w:val="0"/>
          <w:divBdr>
            <w:top w:val="none" w:sz="0" w:space="0" w:color="auto"/>
            <w:left w:val="none" w:sz="0" w:space="0" w:color="auto"/>
            <w:bottom w:val="none" w:sz="0" w:space="0" w:color="auto"/>
            <w:right w:val="none" w:sz="0" w:space="0" w:color="auto"/>
          </w:divBdr>
        </w:div>
      </w:divsChild>
    </w:div>
    <w:div w:id="389308405">
      <w:bodyDiv w:val="1"/>
      <w:marLeft w:val="0"/>
      <w:marRight w:val="0"/>
      <w:marTop w:val="0"/>
      <w:marBottom w:val="0"/>
      <w:divBdr>
        <w:top w:val="none" w:sz="0" w:space="0" w:color="auto"/>
        <w:left w:val="none" w:sz="0" w:space="0" w:color="auto"/>
        <w:bottom w:val="none" w:sz="0" w:space="0" w:color="auto"/>
        <w:right w:val="none" w:sz="0" w:space="0" w:color="auto"/>
      </w:divBdr>
      <w:divsChild>
        <w:div w:id="480734287">
          <w:marLeft w:val="446"/>
          <w:marRight w:val="0"/>
          <w:marTop w:val="200"/>
          <w:marBottom w:val="0"/>
          <w:divBdr>
            <w:top w:val="none" w:sz="0" w:space="0" w:color="auto"/>
            <w:left w:val="none" w:sz="0" w:space="0" w:color="auto"/>
            <w:bottom w:val="none" w:sz="0" w:space="0" w:color="auto"/>
            <w:right w:val="none" w:sz="0" w:space="0" w:color="auto"/>
          </w:divBdr>
        </w:div>
        <w:div w:id="1922713182">
          <w:marLeft w:val="446"/>
          <w:marRight w:val="0"/>
          <w:marTop w:val="200"/>
          <w:marBottom w:val="0"/>
          <w:divBdr>
            <w:top w:val="none" w:sz="0" w:space="0" w:color="auto"/>
            <w:left w:val="none" w:sz="0" w:space="0" w:color="auto"/>
            <w:bottom w:val="none" w:sz="0" w:space="0" w:color="auto"/>
            <w:right w:val="none" w:sz="0" w:space="0" w:color="auto"/>
          </w:divBdr>
        </w:div>
        <w:div w:id="1727994200">
          <w:marLeft w:val="446"/>
          <w:marRight w:val="0"/>
          <w:marTop w:val="200"/>
          <w:marBottom w:val="0"/>
          <w:divBdr>
            <w:top w:val="none" w:sz="0" w:space="0" w:color="auto"/>
            <w:left w:val="none" w:sz="0" w:space="0" w:color="auto"/>
            <w:bottom w:val="none" w:sz="0" w:space="0" w:color="auto"/>
            <w:right w:val="none" w:sz="0" w:space="0" w:color="auto"/>
          </w:divBdr>
        </w:div>
        <w:div w:id="2012682443">
          <w:marLeft w:val="446"/>
          <w:marRight w:val="0"/>
          <w:marTop w:val="200"/>
          <w:marBottom w:val="0"/>
          <w:divBdr>
            <w:top w:val="none" w:sz="0" w:space="0" w:color="auto"/>
            <w:left w:val="none" w:sz="0" w:space="0" w:color="auto"/>
            <w:bottom w:val="none" w:sz="0" w:space="0" w:color="auto"/>
            <w:right w:val="none" w:sz="0" w:space="0" w:color="auto"/>
          </w:divBdr>
        </w:div>
        <w:div w:id="824274123">
          <w:marLeft w:val="446"/>
          <w:marRight w:val="0"/>
          <w:marTop w:val="200"/>
          <w:marBottom w:val="0"/>
          <w:divBdr>
            <w:top w:val="none" w:sz="0" w:space="0" w:color="auto"/>
            <w:left w:val="none" w:sz="0" w:space="0" w:color="auto"/>
            <w:bottom w:val="none" w:sz="0" w:space="0" w:color="auto"/>
            <w:right w:val="none" w:sz="0" w:space="0" w:color="auto"/>
          </w:divBdr>
        </w:div>
        <w:div w:id="1076824232">
          <w:marLeft w:val="446"/>
          <w:marRight w:val="0"/>
          <w:marTop w:val="200"/>
          <w:marBottom w:val="0"/>
          <w:divBdr>
            <w:top w:val="none" w:sz="0" w:space="0" w:color="auto"/>
            <w:left w:val="none" w:sz="0" w:space="0" w:color="auto"/>
            <w:bottom w:val="none" w:sz="0" w:space="0" w:color="auto"/>
            <w:right w:val="none" w:sz="0" w:space="0" w:color="auto"/>
          </w:divBdr>
        </w:div>
      </w:divsChild>
    </w:div>
    <w:div w:id="448816512">
      <w:bodyDiv w:val="1"/>
      <w:marLeft w:val="0"/>
      <w:marRight w:val="0"/>
      <w:marTop w:val="0"/>
      <w:marBottom w:val="0"/>
      <w:divBdr>
        <w:top w:val="none" w:sz="0" w:space="0" w:color="auto"/>
        <w:left w:val="none" w:sz="0" w:space="0" w:color="auto"/>
        <w:bottom w:val="none" w:sz="0" w:space="0" w:color="auto"/>
        <w:right w:val="none" w:sz="0" w:space="0" w:color="auto"/>
      </w:divBdr>
    </w:div>
    <w:div w:id="523522300">
      <w:bodyDiv w:val="1"/>
      <w:marLeft w:val="0"/>
      <w:marRight w:val="0"/>
      <w:marTop w:val="0"/>
      <w:marBottom w:val="0"/>
      <w:divBdr>
        <w:top w:val="none" w:sz="0" w:space="0" w:color="auto"/>
        <w:left w:val="none" w:sz="0" w:space="0" w:color="auto"/>
        <w:bottom w:val="none" w:sz="0" w:space="0" w:color="auto"/>
        <w:right w:val="none" w:sz="0" w:space="0" w:color="auto"/>
      </w:divBdr>
    </w:div>
    <w:div w:id="779229246">
      <w:bodyDiv w:val="1"/>
      <w:marLeft w:val="0"/>
      <w:marRight w:val="0"/>
      <w:marTop w:val="0"/>
      <w:marBottom w:val="0"/>
      <w:divBdr>
        <w:top w:val="none" w:sz="0" w:space="0" w:color="auto"/>
        <w:left w:val="none" w:sz="0" w:space="0" w:color="auto"/>
        <w:bottom w:val="none" w:sz="0" w:space="0" w:color="auto"/>
        <w:right w:val="none" w:sz="0" w:space="0" w:color="auto"/>
      </w:divBdr>
      <w:divsChild>
        <w:div w:id="163253079">
          <w:marLeft w:val="446"/>
          <w:marRight w:val="0"/>
          <w:marTop w:val="200"/>
          <w:marBottom w:val="0"/>
          <w:divBdr>
            <w:top w:val="none" w:sz="0" w:space="0" w:color="auto"/>
            <w:left w:val="none" w:sz="0" w:space="0" w:color="auto"/>
            <w:bottom w:val="none" w:sz="0" w:space="0" w:color="auto"/>
            <w:right w:val="none" w:sz="0" w:space="0" w:color="auto"/>
          </w:divBdr>
        </w:div>
        <w:div w:id="2081906570">
          <w:marLeft w:val="446"/>
          <w:marRight w:val="0"/>
          <w:marTop w:val="200"/>
          <w:marBottom w:val="0"/>
          <w:divBdr>
            <w:top w:val="none" w:sz="0" w:space="0" w:color="auto"/>
            <w:left w:val="none" w:sz="0" w:space="0" w:color="auto"/>
            <w:bottom w:val="none" w:sz="0" w:space="0" w:color="auto"/>
            <w:right w:val="none" w:sz="0" w:space="0" w:color="auto"/>
          </w:divBdr>
        </w:div>
        <w:div w:id="1574313891">
          <w:marLeft w:val="446"/>
          <w:marRight w:val="0"/>
          <w:marTop w:val="200"/>
          <w:marBottom w:val="0"/>
          <w:divBdr>
            <w:top w:val="none" w:sz="0" w:space="0" w:color="auto"/>
            <w:left w:val="none" w:sz="0" w:space="0" w:color="auto"/>
            <w:bottom w:val="none" w:sz="0" w:space="0" w:color="auto"/>
            <w:right w:val="none" w:sz="0" w:space="0" w:color="auto"/>
          </w:divBdr>
        </w:div>
      </w:divsChild>
    </w:div>
    <w:div w:id="851451006">
      <w:bodyDiv w:val="1"/>
      <w:marLeft w:val="0"/>
      <w:marRight w:val="0"/>
      <w:marTop w:val="0"/>
      <w:marBottom w:val="0"/>
      <w:divBdr>
        <w:top w:val="none" w:sz="0" w:space="0" w:color="auto"/>
        <w:left w:val="none" w:sz="0" w:space="0" w:color="auto"/>
        <w:bottom w:val="none" w:sz="0" w:space="0" w:color="auto"/>
        <w:right w:val="none" w:sz="0" w:space="0" w:color="auto"/>
      </w:divBdr>
      <w:divsChild>
        <w:div w:id="1417436491">
          <w:marLeft w:val="446"/>
          <w:marRight w:val="0"/>
          <w:marTop w:val="200"/>
          <w:marBottom w:val="0"/>
          <w:divBdr>
            <w:top w:val="none" w:sz="0" w:space="0" w:color="auto"/>
            <w:left w:val="none" w:sz="0" w:space="0" w:color="auto"/>
            <w:bottom w:val="none" w:sz="0" w:space="0" w:color="auto"/>
            <w:right w:val="none" w:sz="0" w:space="0" w:color="auto"/>
          </w:divBdr>
        </w:div>
        <w:div w:id="251284598">
          <w:marLeft w:val="446"/>
          <w:marRight w:val="0"/>
          <w:marTop w:val="200"/>
          <w:marBottom w:val="0"/>
          <w:divBdr>
            <w:top w:val="none" w:sz="0" w:space="0" w:color="auto"/>
            <w:left w:val="none" w:sz="0" w:space="0" w:color="auto"/>
            <w:bottom w:val="none" w:sz="0" w:space="0" w:color="auto"/>
            <w:right w:val="none" w:sz="0" w:space="0" w:color="auto"/>
          </w:divBdr>
        </w:div>
        <w:div w:id="1817795786">
          <w:marLeft w:val="446"/>
          <w:marRight w:val="0"/>
          <w:marTop w:val="200"/>
          <w:marBottom w:val="0"/>
          <w:divBdr>
            <w:top w:val="none" w:sz="0" w:space="0" w:color="auto"/>
            <w:left w:val="none" w:sz="0" w:space="0" w:color="auto"/>
            <w:bottom w:val="none" w:sz="0" w:space="0" w:color="auto"/>
            <w:right w:val="none" w:sz="0" w:space="0" w:color="auto"/>
          </w:divBdr>
        </w:div>
        <w:div w:id="725638856">
          <w:marLeft w:val="446"/>
          <w:marRight w:val="0"/>
          <w:marTop w:val="200"/>
          <w:marBottom w:val="0"/>
          <w:divBdr>
            <w:top w:val="none" w:sz="0" w:space="0" w:color="auto"/>
            <w:left w:val="none" w:sz="0" w:space="0" w:color="auto"/>
            <w:bottom w:val="none" w:sz="0" w:space="0" w:color="auto"/>
            <w:right w:val="none" w:sz="0" w:space="0" w:color="auto"/>
          </w:divBdr>
        </w:div>
        <w:div w:id="606696115">
          <w:marLeft w:val="446"/>
          <w:marRight w:val="0"/>
          <w:marTop w:val="200"/>
          <w:marBottom w:val="0"/>
          <w:divBdr>
            <w:top w:val="none" w:sz="0" w:space="0" w:color="auto"/>
            <w:left w:val="none" w:sz="0" w:space="0" w:color="auto"/>
            <w:bottom w:val="none" w:sz="0" w:space="0" w:color="auto"/>
            <w:right w:val="none" w:sz="0" w:space="0" w:color="auto"/>
          </w:divBdr>
        </w:div>
        <w:div w:id="1464158222">
          <w:marLeft w:val="446"/>
          <w:marRight w:val="0"/>
          <w:marTop w:val="200"/>
          <w:marBottom w:val="0"/>
          <w:divBdr>
            <w:top w:val="none" w:sz="0" w:space="0" w:color="auto"/>
            <w:left w:val="none" w:sz="0" w:space="0" w:color="auto"/>
            <w:bottom w:val="none" w:sz="0" w:space="0" w:color="auto"/>
            <w:right w:val="none" w:sz="0" w:space="0" w:color="auto"/>
          </w:divBdr>
        </w:div>
        <w:div w:id="589583962">
          <w:marLeft w:val="446"/>
          <w:marRight w:val="0"/>
          <w:marTop w:val="200"/>
          <w:marBottom w:val="0"/>
          <w:divBdr>
            <w:top w:val="none" w:sz="0" w:space="0" w:color="auto"/>
            <w:left w:val="none" w:sz="0" w:space="0" w:color="auto"/>
            <w:bottom w:val="none" w:sz="0" w:space="0" w:color="auto"/>
            <w:right w:val="none" w:sz="0" w:space="0" w:color="auto"/>
          </w:divBdr>
        </w:div>
        <w:div w:id="1814715003">
          <w:marLeft w:val="446"/>
          <w:marRight w:val="0"/>
          <w:marTop w:val="200"/>
          <w:marBottom w:val="0"/>
          <w:divBdr>
            <w:top w:val="none" w:sz="0" w:space="0" w:color="auto"/>
            <w:left w:val="none" w:sz="0" w:space="0" w:color="auto"/>
            <w:bottom w:val="none" w:sz="0" w:space="0" w:color="auto"/>
            <w:right w:val="none" w:sz="0" w:space="0" w:color="auto"/>
          </w:divBdr>
        </w:div>
        <w:div w:id="188613553">
          <w:marLeft w:val="446"/>
          <w:marRight w:val="0"/>
          <w:marTop w:val="200"/>
          <w:marBottom w:val="0"/>
          <w:divBdr>
            <w:top w:val="none" w:sz="0" w:space="0" w:color="auto"/>
            <w:left w:val="none" w:sz="0" w:space="0" w:color="auto"/>
            <w:bottom w:val="none" w:sz="0" w:space="0" w:color="auto"/>
            <w:right w:val="none" w:sz="0" w:space="0" w:color="auto"/>
          </w:divBdr>
        </w:div>
      </w:divsChild>
    </w:div>
    <w:div w:id="1033186077">
      <w:bodyDiv w:val="1"/>
      <w:marLeft w:val="0"/>
      <w:marRight w:val="0"/>
      <w:marTop w:val="0"/>
      <w:marBottom w:val="0"/>
      <w:divBdr>
        <w:top w:val="none" w:sz="0" w:space="0" w:color="auto"/>
        <w:left w:val="none" w:sz="0" w:space="0" w:color="auto"/>
        <w:bottom w:val="none" w:sz="0" w:space="0" w:color="auto"/>
        <w:right w:val="none" w:sz="0" w:space="0" w:color="auto"/>
      </w:divBdr>
    </w:div>
    <w:div w:id="1286086362">
      <w:bodyDiv w:val="1"/>
      <w:marLeft w:val="0"/>
      <w:marRight w:val="0"/>
      <w:marTop w:val="0"/>
      <w:marBottom w:val="0"/>
      <w:divBdr>
        <w:top w:val="none" w:sz="0" w:space="0" w:color="auto"/>
        <w:left w:val="none" w:sz="0" w:space="0" w:color="auto"/>
        <w:bottom w:val="none" w:sz="0" w:space="0" w:color="auto"/>
        <w:right w:val="none" w:sz="0" w:space="0" w:color="auto"/>
      </w:divBdr>
      <w:divsChild>
        <w:div w:id="1501195333">
          <w:marLeft w:val="446"/>
          <w:marRight w:val="0"/>
          <w:marTop w:val="200"/>
          <w:marBottom w:val="0"/>
          <w:divBdr>
            <w:top w:val="none" w:sz="0" w:space="0" w:color="auto"/>
            <w:left w:val="none" w:sz="0" w:space="0" w:color="auto"/>
            <w:bottom w:val="none" w:sz="0" w:space="0" w:color="auto"/>
            <w:right w:val="none" w:sz="0" w:space="0" w:color="auto"/>
          </w:divBdr>
        </w:div>
        <w:div w:id="78529398">
          <w:marLeft w:val="446"/>
          <w:marRight w:val="0"/>
          <w:marTop w:val="200"/>
          <w:marBottom w:val="0"/>
          <w:divBdr>
            <w:top w:val="none" w:sz="0" w:space="0" w:color="auto"/>
            <w:left w:val="none" w:sz="0" w:space="0" w:color="auto"/>
            <w:bottom w:val="none" w:sz="0" w:space="0" w:color="auto"/>
            <w:right w:val="none" w:sz="0" w:space="0" w:color="auto"/>
          </w:divBdr>
        </w:div>
        <w:div w:id="1785268035">
          <w:marLeft w:val="446"/>
          <w:marRight w:val="0"/>
          <w:marTop w:val="200"/>
          <w:marBottom w:val="0"/>
          <w:divBdr>
            <w:top w:val="none" w:sz="0" w:space="0" w:color="auto"/>
            <w:left w:val="none" w:sz="0" w:space="0" w:color="auto"/>
            <w:bottom w:val="none" w:sz="0" w:space="0" w:color="auto"/>
            <w:right w:val="none" w:sz="0" w:space="0" w:color="auto"/>
          </w:divBdr>
        </w:div>
        <w:div w:id="3437481">
          <w:marLeft w:val="446"/>
          <w:marRight w:val="0"/>
          <w:marTop w:val="200"/>
          <w:marBottom w:val="0"/>
          <w:divBdr>
            <w:top w:val="none" w:sz="0" w:space="0" w:color="auto"/>
            <w:left w:val="none" w:sz="0" w:space="0" w:color="auto"/>
            <w:bottom w:val="none" w:sz="0" w:space="0" w:color="auto"/>
            <w:right w:val="none" w:sz="0" w:space="0" w:color="auto"/>
          </w:divBdr>
        </w:div>
        <w:div w:id="51347203">
          <w:marLeft w:val="446"/>
          <w:marRight w:val="0"/>
          <w:marTop w:val="200"/>
          <w:marBottom w:val="0"/>
          <w:divBdr>
            <w:top w:val="none" w:sz="0" w:space="0" w:color="auto"/>
            <w:left w:val="none" w:sz="0" w:space="0" w:color="auto"/>
            <w:bottom w:val="none" w:sz="0" w:space="0" w:color="auto"/>
            <w:right w:val="none" w:sz="0" w:space="0" w:color="auto"/>
          </w:divBdr>
        </w:div>
      </w:divsChild>
    </w:div>
    <w:div w:id="1404987424">
      <w:bodyDiv w:val="1"/>
      <w:marLeft w:val="0"/>
      <w:marRight w:val="0"/>
      <w:marTop w:val="0"/>
      <w:marBottom w:val="0"/>
      <w:divBdr>
        <w:top w:val="none" w:sz="0" w:space="0" w:color="auto"/>
        <w:left w:val="none" w:sz="0" w:space="0" w:color="auto"/>
        <w:bottom w:val="none" w:sz="0" w:space="0" w:color="auto"/>
        <w:right w:val="none" w:sz="0" w:space="0" w:color="auto"/>
      </w:divBdr>
      <w:divsChild>
        <w:div w:id="649868524">
          <w:marLeft w:val="446"/>
          <w:marRight w:val="0"/>
          <w:marTop w:val="200"/>
          <w:marBottom w:val="0"/>
          <w:divBdr>
            <w:top w:val="none" w:sz="0" w:space="0" w:color="auto"/>
            <w:left w:val="none" w:sz="0" w:space="0" w:color="auto"/>
            <w:bottom w:val="none" w:sz="0" w:space="0" w:color="auto"/>
            <w:right w:val="none" w:sz="0" w:space="0" w:color="auto"/>
          </w:divBdr>
        </w:div>
      </w:divsChild>
    </w:div>
    <w:div w:id="1446850167">
      <w:bodyDiv w:val="1"/>
      <w:marLeft w:val="0"/>
      <w:marRight w:val="0"/>
      <w:marTop w:val="0"/>
      <w:marBottom w:val="0"/>
      <w:divBdr>
        <w:top w:val="none" w:sz="0" w:space="0" w:color="auto"/>
        <w:left w:val="none" w:sz="0" w:space="0" w:color="auto"/>
        <w:bottom w:val="none" w:sz="0" w:space="0" w:color="auto"/>
        <w:right w:val="none" w:sz="0" w:space="0" w:color="auto"/>
      </w:divBdr>
      <w:divsChild>
        <w:div w:id="1898517041">
          <w:marLeft w:val="446"/>
          <w:marRight w:val="0"/>
          <w:marTop w:val="200"/>
          <w:marBottom w:val="0"/>
          <w:divBdr>
            <w:top w:val="none" w:sz="0" w:space="0" w:color="auto"/>
            <w:left w:val="none" w:sz="0" w:space="0" w:color="auto"/>
            <w:bottom w:val="none" w:sz="0" w:space="0" w:color="auto"/>
            <w:right w:val="none" w:sz="0" w:space="0" w:color="auto"/>
          </w:divBdr>
        </w:div>
        <w:div w:id="1745638345">
          <w:marLeft w:val="446"/>
          <w:marRight w:val="0"/>
          <w:marTop w:val="200"/>
          <w:marBottom w:val="0"/>
          <w:divBdr>
            <w:top w:val="none" w:sz="0" w:space="0" w:color="auto"/>
            <w:left w:val="none" w:sz="0" w:space="0" w:color="auto"/>
            <w:bottom w:val="none" w:sz="0" w:space="0" w:color="auto"/>
            <w:right w:val="none" w:sz="0" w:space="0" w:color="auto"/>
          </w:divBdr>
        </w:div>
      </w:divsChild>
    </w:div>
    <w:div w:id="1697267289">
      <w:bodyDiv w:val="1"/>
      <w:marLeft w:val="0"/>
      <w:marRight w:val="0"/>
      <w:marTop w:val="0"/>
      <w:marBottom w:val="0"/>
      <w:divBdr>
        <w:top w:val="none" w:sz="0" w:space="0" w:color="auto"/>
        <w:left w:val="none" w:sz="0" w:space="0" w:color="auto"/>
        <w:bottom w:val="none" w:sz="0" w:space="0" w:color="auto"/>
        <w:right w:val="none" w:sz="0" w:space="0" w:color="auto"/>
      </w:divBdr>
      <w:divsChild>
        <w:div w:id="604967841">
          <w:marLeft w:val="1166"/>
          <w:marRight w:val="0"/>
          <w:marTop w:val="0"/>
          <w:marBottom w:val="0"/>
          <w:divBdr>
            <w:top w:val="none" w:sz="0" w:space="0" w:color="auto"/>
            <w:left w:val="none" w:sz="0" w:space="0" w:color="auto"/>
            <w:bottom w:val="none" w:sz="0" w:space="0" w:color="auto"/>
            <w:right w:val="none" w:sz="0" w:space="0" w:color="auto"/>
          </w:divBdr>
        </w:div>
        <w:div w:id="1325744068">
          <w:marLeft w:val="1166"/>
          <w:marRight w:val="0"/>
          <w:marTop w:val="0"/>
          <w:marBottom w:val="0"/>
          <w:divBdr>
            <w:top w:val="none" w:sz="0" w:space="0" w:color="auto"/>
            <w:left w:val="none" w:sz="0" w:space="0" w:color="auto"/>
            <w:bottom w:val="none" w:sz="0" w:space="0" w:color="auto"/>
            <w:right w:val="none" w:sz="0" w:space="0" w:color="auto"/>
          </w:divBdr>
        </w:div>
      </w:divsChild>
    </w:div>
    <w:div w:id="1712145142">
      <w:bodyDiv w:val="1"/>
      <w:marLeft w:val="0"/>
      <w:marRight w:val="0"/>
      <w:marTop w:val="0"/>
      <w:marBottom w:val="0"/>
      <w:divBdr>
        <w:top w:val="none" w:sz="0" w:space="0" w:color="auto"/>
        <w:left w:val="none" w:sz="0" w:space="0" w:color="auto"/>
        <w:bottom w:val="none" w:sz="0" w:space="0" w:color="auto"/>
        <w:right w:val="none" w:sz="0" w:space="0" w:color="auto"/>
      </w:divBdr>
    </w:div>
    <w:div w:id="1715159060">
      <w:bodyDiv w:val="1"/>
      <w:marLeft w:val="0"/>
      <w:marRight w:val="0"/>
      <w:marTop w:val="0"/>
      <w:marBottom w:val="0"/>
      <w:divBdr>
        <w:top w:val="none" w:sz="0" w:space="0" w:color="auto"/>
        <w:left w:val="none" w:sz="0" w:space="0" w:color="auto"/>
        <w:bottom w:val="none" w:sz="0" w:space="0" w:color="auto"/>
        <w:right w:val="none" w:sz="0" w:space="0" w:color="auto"/>
      </w:divBdr>
    </w:div>
    <w:div w:id="1955407988">
      <w:bodyDiv w:val="1"/>
      <w:marLeft w:val="0"/>
      <w:marRight w:val="0"/>
      <w:marTop w:val="0"/>
      <w:marBottom w:val="0"/>
      <w:divBdr>
        <w:top w:val="none" w:sz="0" w:space="0" w:color="auto"/>
        <w:left w:val="none" w:sz="0" w:space="0" w:color="auto"/>
        <w:bottom w:val="none" w:sz="0" w:space="0" w:color="auto"/>
        <w:right w:val="none" w:sz="0" w:space="0" w:color="auto"/>
      </w:divBdr>
    </w:div>
    <w:div w:id="2090038198">
      <w:bodyDiv w:val="1"/>
      <w:marLeft w:val="0"/>
      <w:marRight w:val="0"/>
      <w:marTop w:val="0"/>
      <w:marBottom w:val="0"/>
      <w:divBdr>
        <w:top w:val="none" w:sz="0" w:space="0" w:color="auto"/>
        <w:left w:val="none" w:sz="0" w:space="0" w:color="auto"/>
        <w:bottom w:val="none" w:sz="0" w:space="0" w:color="auto"/>
        <w:right w:val="none" w:sz="0" w:space="0" w:color="auto"/>
      </w:divBdr>
    </w:div>
    <w:div w:id="2095012317">
      <w:bodyDiv w:val="1"/>
      <w:marLeft w:val="0"/>
      <w:marRight w:val="0"/>
      <w:marTop w:val="0"/>
      <w:marBottom w:val="0"/>
      <w:divBdr>
        <w:top w:val="none" w:sz="0" w:space="0" w:color="auto"/>
        <w:left w:val="none" w:sz="0" w:space="0" w:color="auto"/>
        <w:bottom w:val="none" w:sz="0" w:space="0" w:color="auto"/>
        <w:right w:val="none" w:sz="0" w:space="0" w:color="auto"/>
      </w:divBdr>
      <w:divsChild>
        <w:div w:id="922379052">
          <w:marLeft w:val="446"/>
          <w:marRight w:val="0"/>
          <w:marTop w:val="200"/>
          <w:marBottom w:val="0"/>
          <w:divBdr>
            <w:top w:val="none" w:sz="0" w:space="0" w:color="auto"/>
            <w:left w:val="none" w:sz="0" w:space="0" w:color="auto"/>
            <w:bottom w:val="none" w:sz="0" w:space="0" w:color="auto"/>
            <w:right w:val="none" w:sz="0" w:space="0" w:color="auto"/>
          </w:divBdr>
        </w:div>
        <w:div w:id="935988629">
          <w:marLeft w:val="1166"/>
          <w:marRight w:val="0"/>
          <w:marTop w:val="100"/>
          <w:marBottom w:val="0"/>
          <w:divBdr>
            <w:top w:val="none" w:sz="0" w:space="0" w:color="auto"/>
            <w:left w:val="none" w:sz="0" w:space="0" w:color="auto"/>
            <w:bottom w:val="none" w:sz="0" w:space="0" w:color="auto"/>
            <w:right w:val="none" w:sz="0" w:space="0" w:color="auto"/>
          </w:divBdr>
        </w:div>
        <w:div w:id="692462197">
          <w:marLeft w:val="446"/>
          <w:marRight w:val="0"/>
          <w:marTop w:val="200"/>
          <w:marBottom w:val="0"/>
          <w:divBdr>
            <w:top w:val="none" w:sz="0" w:space="0" w:color="auto"/>
            <w:left w:val="none" w:sz="0" w:space="0" w:color="auto"/>
            <w:bottom w:val="none" w:sz="0" w:space="0" w:color="auto"/>
            <w:right w:val="none" w:sz="0" w:space="0" w:color="auto"/>
          </w:divBdr>
        </w:div>
      </w:divsChild>
    </w:div>
    <w:div w:id="214226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FAEE6-8C40-46A9-9FFA-EA7FC521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2539</Words>
  <Characters>14477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Milan</dc:creator>
  <cp:keywords/>
  <dc:description/>
  <cp:lastModifiedBy>Donald Milan</cp:lastModifiedBy>
  <cp:revision>12</cp:revision>
  <dcterms:created xsi:type="dcterms:W3CDTF">2022-11-30T14:34:00Z</dcterms:created>
  <dcterms:modified xsi:type="dcterms:W3CDTF">2022-12-05T01:44:00Z</dcterms:modified>
</cp:coreProperties>
</file>